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557224" w:rsidRDefault="00557224" w:rsidP="00EB313D">
      <w:pPr>
        <w:tabs>
          <w:tab w:val="left" w:pos="1257"/>
        </w:tabs>
        <w:jc w:val="center"/>
        <w:rPr>
          <w:rFonts w:ascii="Times New Roman" w:eastAsia="Times New Roman" w:hAnsi="Times New Roman" w:cs="Times New Roman"/>
          <w:b/>
          <w:sz w:val="24"/>
          <w:szCs w:val="24"/>
        </w:rPr>
      </w:pPr>
      <w:r w:rsidRPr="00557224">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rsidR="00557224" w:rsidRDefault="00557224" w:rsidP="00EB313D">
      <w:pPr>
        <w:tabs>
          <w:tab w:val="left" w:pos="1257"/>
        </w:tabs>
        <w:jc w:val="center"/>
        <w:rPr>
          <w:rFonts w:ascii="Times New Roman" w:eastAsia="Times New Roman" w:hAnsi="Times New Roman" w:cs="Times New Roman"/>
          <w:b/>
          <w:sz w:val="24"/>
          <w:szCs w:val="24"/>
        </w:rPr>
      </w:pP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xml:space="preserve">, </w:t>
      </w:r>
      <w:r w:rsidR="00B67283" w:rsidRPr="00B67283">
        <w:rPr>
          <w:rFonts w:ascii="Times New Roman" w:eastAsia="Times New Roman" w:hAnsi="Times New Roman" w:cs="Times New Roman"/>
          <w:sz w:val="24"/>
          <w:szCs w:val="24"/>
        </w:rPr>
        <w:t xml:space="preserve">kao osoba ovlaštena za zastupanje </w:t>
      </w:r>
      <w:r w:rsidR="0084669F">
        <w:rPr>
          <w:rFonts w:ascii="Times New Roman" w:eastAsia="Times New Roman" w:hAnsi="Times New Roman" w:cs="Times New Roman"/>
          <w:sz w:val="24"/>
          <w:szCs w:val="24"/>
        </w:rPr>
        <w:t xml:space="preserve">Prijavitelja </w:t>
      </w:r>
      <w:r w:rsidR="000005D3" w:rsidRPr="000E1149">
        <w:rPr>
          <w:rFonts w:ascii="Times New Roman" w:eastAsia="Times New Roman" w:hAnsi="Times New Roman" w:cs="Times New Roman"/>
          <w:sz w:val="24"/>
          <w:szCs w:val="24"/>
        </w:rPr>
        <w:t xml:space="preserve">osobno i u ime </w:t>
      </w:r>
      <w:r w:rsidR="0084669F">
        <w:rPr>
          <w:rFonts w:ascii="Times New Roman" w:eastAsia="Times New Roman" w:hAnsi="Times New Roman" w:cs="Times New Roman"/>
          <w:sz w:val="24"/>
          <w:szCs w:val="24"/>
        </w:rPr>
        <w:t>Prijavitelja</w:t>
      </w:r>
      <w:r w:rsidR="00B67283" w:rsidRPr="0014602E">
        <w:rPr>
          <w:rFonts w:ascii="Times New Roman" w:eastAsia="Times New Roman" w:hAnsi="Times New Roman" w:cs="Times New Roman"/>
          <w:sz w:val="24"/>
          <w:szCs w:val="24"/>
        </w:rPr>
        <w:t xml:space="preserve"> </w:t>
      </w:r>
      <w:r w:rsidR="001F7DC8" w:rsidRPr="000E1149">
        <w:rPr>
          <w:rFonts w:ascii="Times New Roman" w:eastAsia="Times New Roman" w:hAnsi="Times New Roman" w:cs="Times New Roman"/>
          <w:sz w:val="24"/>
          <w:szCs w:val="24"/>
        </w:rPr>
        <w:t xml:space="preserve">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57224">
        <w:rPr>
          <w:rFonts w:ascii="Times New Roman" w:eastAsia="Times New Roman" w:hAnsi="Times New Roman" w:cs="Times New Roman"/>
          <w:b/>
          <w:i/>
          <w:sz w:val="24"/>
          <w:szCs w:val="24"/>
        </w:rPr>
        <w:t>„umetnuti naziv projektnog prijedloga“</w:t>
      </w:r>
      <w:r w:rsidR="00FA75AA">
        <w:rPr>
          <w:rFonts w:ascii="Times New Roman" w:eastAsia="Times New Roman" w:hAnsi="Times New Roman" w:cs="Times New Roman"/>
          <w:b/>
          <w:i/>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57224" w:rsidRPr="00557224">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w:t>
      </w:r>
      <w:r w:rsidR="00557224">
        <w:rPr>
          <w:rFonts w:ascii="Times New Roman" w:eastAsia="Times New Roman" w:hAnsi="Times New Roman" w:cs="Times New Roman"/>
          <w:b/>
          <w:sz w:val="24"/>
          <w:szCs w:val="24"/>
        </w:rPr>
        <w:t>2</w:t>
      </w:r>
      <w:r w:rsidR="007D14E4" w:rsidRPr="007D14E4">
        <w:rPr>
          <w:rFonts w:ascii="Times New Roman" w:eastAsia="Times New Roman" w:hAnsi="Times New Roman" w:cs="Times New Roman"/>
          <w:b/>
          <w:sz w:val="24"/>
          <w:szCs w:val="24"/>
        </w:rPr>
        <w:t>.</w:t>
      </w:r>
      <w:r w:rsidR="00557224">
        <w:rPr>
          <w:rFonts w:ascii="Times New Roman" w:eastAsia="Times New Roman" w:hAnsi="Times New Roman" w:cs="Times New Roman"/>
          <w:b/>
          <w:sz w:val="24"/>
          <w:szCs w:val="24"/>
        </w:rPr>
        <w:t>3</w:t>
      </w:r>
      <w:r w:rsidR="007D14E4" w:rsidRPr="007D14E4">
        <w:rPr>
          <w:rFonts w:ascii="Times New Roman" w:eastAsia="Times New Roman" w:hAnsi="Times New Roman" w:cs="Times New Roman"/>
          <w:b/>
          <w:sz w:val="24"/>
          <w:szCs w:val="24"/>
        </w:rPr>
        <w:t>. R</w:t>
      </w:r>
      <w:r w:rsidR="00557224">
        <w:rPr>
          <w:rFonts w:ascii="Times New Roman" w:eastAsia="Times New Roman" w:hAnsi="Times New Roman" w:cs="Times New Roman"/>
          <w:b/>
          <w:sz w:val="24"/>
          <w:szCs w:val="24"/>
        </w:rPr>
        <w:t>4</w:t>
      </w:r>
      <w:r w:rsidR="007D14E4" w:rsidRPr="007D14E4">
        <w:rPr>
          <w:rFonts w:ascii="Times New Roman" w:eastAsia="Times New Roman" w:hAnsi="Times New Roman" w:cs="Times New Roman"/>
          <w:b/>
          <w:sz w:val="24"/>
          <w:szCs w:val="24"/>
        </w:rPr>
        <w:t>-I</w:t>
      </w:r>
      <w:r w:rsidR="00557224">
        <w:rPr>
          <w:rFonts w:ascii="Times New Roman" w:eastAsia="Times New Roman" w:hAnsi="Times New Roman" w:cs="Times New Roman"/>
          <w:b/>
          <w:sz w:val="24"/>
          <w:szCs w:val="24"/>
        </w:rPr>
        <w:t>1</w:t>
      </w:r>
      <w:r w:rsidR="007D14E4" w:rsidRPr="007D14E4">
        <w:rPr>
          <w:rFonts w:ascii="Times New Roman" w:eastAsia="Times New Roman" w:hAnsi="Times New Roman" w:cs="Times New Roman"/>
          <w:b/>
          <w:sz w:val="24"/>
          <w:szCs w:val="24"/>
        </w:rPr>
        <w:t>.01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8C3715" w:rsidRPr="00CF51A2" w:rsidRDefault="008C3715" w:rsidP="008C3715">
      <w:pPr>
        <w:tabs>
          <w:tab w:val="left" w:pos="1257"/>
        </w:tabs>
        <w:jc w:val="both"/>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Pod materijalnom i kaznenom odgovornošću izjavljujem:</w:t>
      </w:r>
    </w:p>
    <w:p w:rsidR="008C3715" w:rsidRPr="00CF51A2" w:rsidRDefault="008C3715" w:rsidP="008C3715">
      <w:pPr>
        <w:pStyle w:val="ListParagraph"/>
        <w:numPr>
          <w:ilvl w:val="0"/>
          <w:numId w:val="33"/>
        </w:numPr>
        <w:tabs>
          <w:tab w:val="left" w:pos="1257"/>
        </w:tabs>
        <w:spacing w:line="240" w:lineRule="auto"/>
        <w:jc w:val="both"/>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da ću zajedno sa svojim partnerom (ako je primjenjivo</w:t>
      </w:r>
      <w:r w:rsidRPr="00A56D55">
        <w:rPr>
          <w:rFonts w:ascii="Times New Roman" w:eastAsia="Times New Roman" w:hAnsi="Times New Roman" w:cs="Times New Roman"/>
          <w:sz w:val="24"/>
          <w:szCs w:val="24"/>
        </w:rPr>
        <w:t>) osigurati učinkovitu uporabu sredst</w:t>
      </w:r>
      <w:r w:rsidRPr="00CF51A2">
        <w:rPr>
          <w:rFonts w:ascii="Times New Roman" w:eastAsia="Times New Roman" w:hAnsi="Times New Roman" w:cs="Times New Roman"/>
          <w:sz w:val="24"/>
          <w:szCs w:val="24"/>
        </w:rPr>
        <w:t xml:space="preserve">ava u skladu s načelima ekonomičnosti, učinkovitosti i djelotvornosti, a u svrhu financiranja cjelokupne razlike između ukupnih prihvatljivih troškova i iznosa bespovratnih sredstava (potpora) potencijalno dobivenih u sklopu ovog Ograničenog poziva te ukupnosti neprihvatljivih troškova; </w:t>
      </w:r>
    </w:p>
    <w:p w:rsidR="008C3715" w:rsidRPr="00CF51A2" w:rsidRDefault="008C3715" w:rsidP="008C3715">
      <w:pPr>
        <w:pStyle w:val="ListParagraph"/>
        <w:numPr>
          <w:ilvl w:val="0"/>
          <w:numId w:val="33"/>
        </w:numPr>
        <w:tabs>
          <w:tab w:val="left" w:pos="1257"/>
        </w:tabs>
        <w:spacing w:line="240" w:lineRule="auto"/>
        <w:jc w:val="both"/>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navedena sredstva osigurana su na sljedeći način</w:t>
      </w:r>
      <w:r w:rsidRPr="00A56D55">
        <w:rPr>
          <w:rStyle w:val="FootnoteReference"/>
          <w:rFonts w:ascii="Times New Roman" w:eastAsia="Times New Roman" w:hAnsi="Times New Roman"/>
          <w:sz w:val="24"/>
          <w:szCs w:val="24"/>
        </w:rPr>
        <w:footnoteReference w:id="2"/>
      </w:r>
      <w:r w:rsidRPr="00A56D55">
        <w:rPr>
          <w:rFonts w:ascii="Times New Roman" w:eastAsia="Times New Roman" w:hAnsi="Times New Roman" w:cs="Times New Roman"/>
          <w:sz w:val="24"/>
          <w:szCs w:val="24"/>
        </w:rPr>
        <w:t>: (</w:t>
      </w:r>
      <w:r w:rsidRPr="00344819">
        <w:rPr>
          <w:rFonts w:ascii="Times New Roman" w:eastAsia="Times New Roman" w:hAnsi="Times New Roman" w:cs="Times New Roman"/>
          <w:i/>
          <w:sz w:val="24"/>
          <w:szCs w:val="24"/>
        </w:rPr>
        <w:t>navesti vlastita sredstva, zajam ili jamstvo poslovne banke ili javnog tijela uz uvjet da se primjenjuju tržišni uvjeti ili nešto treće</w:t>
      </w:r>
      <w:r w:rsidRPr="00CF51A2">
        <w:rPr>
          <w:rFonts w:ascii="Times New Roman" w:eastAsia="Times New Roman" w:hAnsi="Times New Roman" w:cs="Times New Roman"/>
          <w:sz w:val="24"/>
          <w:szCs w:val="24"/>
        </w:rPr>
        <w:t>)</w:t>
      </w:r>
    </w:p>
    <w:p w:rsidR="008C3715" w:rsidRPr="00CF51A2" w:rsidRDefault="008C3715" w:rsidP="008C3715">
      <w:pPr>
        <w:pStyle w:val="ListParagraph"/>
        <w:numPr>
          <w:ilvl w:val="1"/>
          <w:numId w:val="33"/>
        </w:numPr>
        <w:tabs>
          <w:tab w:val="left" w:pos="1257"/>
        </w:tabs>
        <w:spacing w:line="240" w:lineRule="auto"/>
        <w:jc w:val="both"/>
        <w:rPr>
          <w:rFonts w:ascii="Times New Roman" w:eastAsia="Times New Roman" w:hAnsi="Times New Roman" w:cs="Times New Roman"/>
          <w:i/>
          <w:iCs/>
          <w:sz w:val="24"/>
          <w:szCs w:val="24"/>
        </w:rPr>
      </w:pPr>
      <w:r w:rsidRPr="00CF51A2">
        <w:rPr>
          <w:rFonts w:ascii="Times New Roman" w:eastAsia="Times New Roman" w:hAnsi="Times New Roman" w:cs="Times New Roman"/>
          <w:i/>
          <w:iCs/>
          <w:sz w:val="24"/>
          <w:szCs w:val="24"/>
        </w:rPr>
        <w:t xml:space="preserve"> navesti referencu na izvor u kojem su sredstva već osigurana/raspoloživa, npr.: osigurana u proračunu ____________________(upisati kojem) za ____________(godina) na stavci ______________________(naznaka odgovarajuće stavke);</w:t>
      </w:r>
    </w:p>
    <w:p w:rsidR="008C3715" w:rsidRPr="00CF51A2" w:rsidRDefault="008C3715" w:rsidP="008C3715">
      <w:pPr>
        <w:pStyle w:val="ListParagraph"/>
        <w:numPr>
          <w:ilvl w:val="1"/>
          <w:numId w:val="33"/>
        </w:numPr>
        <w:tabs>
          <w:tab w:val="left" w:pos="1257"/>
        </w:tabs>
        <w:spacing w:line="240" w:lineRule="auto"/>
        <w:ind w:left="709"/>
        <w:jc w:val="both"/>
        <w:rPr>
          <w:rFonts w:ascii="Times New Roman" w:eastAsia="Times New Roman" w:hAnsi="Times New Roman" w:cs="Times New Roman"/>
          <w:i/>
          <w:iCs/>
          <w:sz w:val="24"/>
          <w:szCs w:val="24"/>
        </w:rPr>
      </w:pPr>
      <w:r w:rsidRPr="00CF51A2">
        <w:rPr>
          <w:rFonts w:ascii="Times New Roman" w:eastAsia="Times New Roman" w:hAnsi="Times New Roman" w:cs="Times New Roman"/>
          <w:sz w:val="24"/>
          <w:szCs w:val="24"/>
        </w:rPr>
        <w:t>da Prijavitelj (</w:t>
      </w:r>
      <w:r w:rsidRPr="00CF51A2">
        <w:rPr>
          <w:rFonts w:ascii="Times New Roman" w:eastAsia="Times New Roman" w:hAnsi="Times New Roman" w:cs="Times New Roman"/>
          <w:i/>
          <w:sz w:val="24"/>
          <w:szCs w:val="24"/>
        </w:rPr>
        <w:t>zaokružiti</w:t>
      </w:r>
      <w:r w:rsidRPr="00CF51A2">
        <w:rPr>
          <w:rFonts w:ascii="Times New Roman" w:eastAsia="Times New Roman" w:hAnsi="Times New Roman" w:cs="Times New Roman"/>
          <w:sz w:val="24"/>
          <w:szCs w:val="24"/>
        </w:rPr>
        <w:t xml:space="preserve">): </w:t>
      </w:r>
    </w:p>
    <w:p w:rsidR="008C3715" w:rsidRPr="00CF51A2" w:rsidRDefault="008C3715" w:rsidP="008C3715">
      <w:pPr>
        <w:pStyle w:val="ListParagraph"/>
        <w:numPr>
          <w:ilvl w:val="2"/>
          <w:numId w:val="34"/>
        </w:numPr>
        <w:tabs>
          <w:tab w:val="left" w:pos="1257"/>
        </w:tabs>
        <w:spacing w:line="240" w:lineRule="auto"/>
        <w:jc w:val="both"/>
        <w:rPr>
          <w:rFonts w:ascii="Times New Roman" w:eastAsia="Times New Roman" w:hAnsi="Times New Roman" w:cs="Times New Roman"/>
          <w:i/>
          <w:iCs/>
          <w:sz w:val="24"/>
          <w:szCs w:val="24"/>
        </w:rPr>
      </w:pPr>
      <w:r w:rsidRPr="00CF51A2">
        <w:rPr>
          <w:rFonts w:ascii="Times New Roman" w:eastAsia="Calibri" w:hAnsi="Times New Roman" w:cs="Times New Roman"/>
          <w:sz w:val="24"/>
          <w:szCs w:val="24"/>
        </w:rPr>
        <w:t>nema pravo ostvariti odbitak poreza na dodanu vrijednost.</w:t>
      </w:r>
    </w:p>
    <w:p w:rsidR="008C3715" w:rsidRPr="00CF51A2" w:rsidRDefault="008C3715" w:rsidP="008C3715">
      <w:pPr>
        <w:pStyle w:val="ListParagraph"/>
        <w:numPr>
          <w:ilvl w:val="2"/>
          <w:numId w:val="34"/>
        </w:numPr>
        <w:tabs>
          <w:tab w:val="left" w:pos="1257"/>
        </w:tabs>
        <w:spacing w:line="240" w:lineRule="auto"/>
        <w:jc w:val="both"/>
        <w:rPr>
          <w:rFonts w:ascii="Times New Roman" w:eastAsia="Times New Roman" w:hAnsi="Times New Roman" w:cs="Times New Roman"/>
          <w:i/>
          <w:iCs/>
          <w:sz w:val="24"/>
          <w:szCs w:val="24"/>
        </w:rPr>
      </w:pPr>
      <w:r w:rsidRPr="00CF51A2">
        <w:rPr>
          <w:rFonts w:ascii="Times New Roman" w:eastAsia="Calibri" w:hAnsi="Times New Roman" w:cs="Times New Roman"/>
          <w:sz w:val="24"/>
          <w:szCs w:val="24"/>
        </w:rPr>
        <w:t>ima pravo ostvariti odbitak poreza na dodanu vrijednost:</w:t>
      </w:r>
    </w:p>
    <w:p w:rsidR="008C3715" w:rsidRPr="00CF51A2" w:rsidRDefault="008C3715" w:rsidP="008C3715">
      <w:pPr>
        <w:pStyle w:val="ListParagraph"/>
        <w:spacing w:line="240" w:lineRule="auto"/>
        <w:ind w:left="1416"/>
        <w:rPr>
          <w:rFonts w:ascii="Times New Roman" w:eastAsia="Calibri" w:hAnsi="Times New Roman" w:cs="Times New Roman"/>
          <w:sz w:val="24"/>
          <w:szCs w:val="24"/>
          <w:highlight w:val="lightGray"/>
        </w:rPr>
      </w:pPr>
    </w:p>
    <w:p w:rsidR="008C3715" w:rsidRPr="00CF51A2" w:rsidRDefault="008C3715" w:rsidP="008C3715">
      <w:pPr>
        <w:pStyle w:val="ListParagraph"/>
        <w:widowControl w:val="0"/>
        <w:numPr>
          <w:ilvl w:val="0"/>
          <w:numId w:val="35"/>
        </w:numPr>
        <w:spacing w:line="240" w:lineRule="auto"/>
        <w:rPr>
          <w:rFonts w:ascii="Times New Roman" w:eastAsia="Calibri" w:hAnsi="Times New Roman" w:cs="Times New Roman"/>
          <w:sz w:val="24"/>
          <w:szCs w:val="24"/>
          <w:highlight w:val="lightGray"/>
        </w:rPr>
      </w:pPr>
      <w:r w:rsidRPr="00CF51A2">
        <w:rPr>
          <w:rFonts w:ascii="Times New Roman" w:eastAsia="Calibri" w:hAnsi="Times New Roman" w:cs="Times New Roman"/>
          <w:sz w:val="24"/>
          <w:szCs w:val="24"/>
          <w:highlight w:val="lightGray"/>
        </w:rPr>
        <w:t>za sve</w:t>
      </w:r>
      <w:r w:rsidRPr="00CF51A2">
        <w:rPr>
          <w:rFonts w:ascii="Times New Roman" w:hAnsi="Times New Roman" w:cs="Times New Roman"/>
          <w:sz w:val="24"/>
          <w:szCs w:val="24"/>
          <w:highlight w:val="lightGray"/>
        </w:rPr>
        <w:t xml:space="preserve"> </w:t>
      </w:r>
      <w:r w:rsidRPr="00CF51A2">
        <w:rPr>
          <w:rFonts w:ascii="Times New Roman" w:eastAsia="Calibri" w:hAnsi="Times New Roman" w:cs="Times New Roman"/>
          <w:sz w:val="24"/>
          <w:szCs w:val="24"/>
          <w:highlight w:val="lightGray"/>
        </w:rPr>
        <w:t>troškove koji su navedeni u ovoj projektnoj prijavi</w:t>
      </w:r>
    </w:p>
    <w:p w:rsidR="008C3715" w:rsidRPr="00A56D55" w:rsidRDefault="008C3715" w:rsidP="008C3715">
      <w:pPr>
        <w:pStyle w:val="ListParagraph"/>
        <w:widowControl w:val="0"/>
        <w:numPr>
          <w:ilvl w:val="0"/>
          <w:numId w:val="35"/>
        </w:numPr>
        <w:spacing w:line="240" w:lineRule="auto"/>
        <w:rPr>
          <w:rFonts w:ascii="Times New Roman" w:eastAsia="Calibri" w:hAnsi="Times New Roman" w:cs="Times New Roman"/>
          <w:sz w:val="24"/>
          <w:szCs w:val="24"/>
          <w:highlight w:val="lightGray"/>
        </w:rPr>
      </w:pPr>
      <w:r w:rsidRPr="00CF51A2">
        <w:rPr>
          <w:rFonts w:ascii="Times New Roman" w:eastAsia="Calibri" w:hAnsi="Times New Roman" w:cs="Times New Roman"/>
          <w:sz w:val="24"/>
          <w:szCs w:val="24"/>
          <w:highlight w:val="lightGray"/>
        </w:rPr>
        <w:t xml:space="preserve">za sljedeće troškove koje su navedene u ovoj projektnoj prijavi: </w:t>
      </w:r>
      <w:r w:rsidRPr="00CF51A2">
        <w:rPr>
          <w:rFonts w:ascii="Times New Roman" w:eastAsia="Calibri" w:hAnsi="Times New Roman" w:cs="Times New Roman"/>
          <w:i/>
          <w:sz w:val="24"/>
          <w:szCs w:val="24"/>
          <w:highlight w:val="lightGray"/>
        </w:rPr>
        <w:t xml:space="preserve">(navesti stavke troškova u projektnoj prijavi na koje imate pravo </w:t>
      </w:r>
      <w:r w:rsidRPr="00A56D55">
        <w:rPr>
          <w:rFonts w:ascii="Times New Roman" w:eastAsia="Calibri" w:hAnsi="Times New Roman" w:cs="Times New Roman"/>
          <w:i/>
          <w:sz w:val="24"/>
          <w:szCs w:val="24"/>
          <w:highlight w:val="lightGray"/>
        </w:rPr>
        <w:t>povrata poreza na dodanu vrijednost)</w:t>
      </w:r>
    </w:p>
    <w:p w:rsidR="008C3715" w:rsidRPr="00A56D55" w:rsidRDefault="008C3715" w:rsidP="008C3715">
      <w:pPr>
        <w:pStyle w:val="CommentText"/>
        <w:ind w:left="357"/>
        <w:rPr>
          <w:rFonts w:ascii="Times New Roman" w:hAnsi="Times New Roman" w:cs="Times New Roman"/>
          <w:sz w:val="24"/>
          <w:szCs w:val="24"/>
        </w:rPr>
      </w:pPr>
      <w:r w:rsidRPr="00A56D55">
        <w:rPr>
          <w:rFonts w:ascii="Times New Roman" w:hAnsi="Times New Roman" w:cs="Times New Roman"/>
          <w:sz w:val="24"/>
          <w:szCs w:val="24"/>
        </w:rPr>
        <w:lastRenderedPageBreak/>
        <w:t>Potvrđujem da za troškove navedene pod točkom (</w:t>
      </w:r>
      <w:r w:rsidRPr="00A56D55">
        <w:rPr>
          <w:rFonts w:ascii="Times New Roman" w:hAnsi="Times New Roman" w:cs="Times New Roman"/>
          <w:i/>
          <w:sz w:val="24"/>
          <w:szCs w:val="24"/>
        </w:rPr>
        <w:t>ii</w:t>
      </w:r>
      <w:r w:rsidRPr="00A56D55">
        <w:rPr>
          <w:rFonts w:ascii="Times New Roman" w:hAnsi="Times New Roman" w:cs="Times New Roman"/>
          <w:sz w:val="24"/>
          <w:szCs w:val="24"/>
        </w:rPr>
        <w:t xml:space="preserve">) porez na dodanu vrijednost nije uključen u iznos stavke proračuna. </w:t>
      </w:r>
    </w:p>
    <w:p w:rsidR="001F1EB0" w:rsidRPr="001F1EB0" w:rsidRDefault="008C3715" w:rsidP="008C3715">
      <w:pPr>
        <w:pStyle w:val="ListParagraph"/>
        <w:numPr>
          <w:ilvl w:val="1"/>
          <w:numId w:val="33"/>
        </w:numPr>
        <w:tabs>
          <w:tab w:val="left" w:pos="1257"/>
        </w:tabs>
        <w:spacing w:line="240" w:lineRule="auto"/>
        <w:ind w:left="709"/>
        <w:jc w:val="both"/>
        <w:rPr>
          <w:rFonts w:ascii="Times New Roman" w:eastAsia="Times New Roman" w:hAnsi="Times New Roman" w:cs="Times New Roman"/>
          <w:i/>
          <w:iCs/>
          <w:sz w:val="24"/>
          <w:szCs w:val="24"/>
        </w:rPr>
      </w:pPr>
      <w:r w:rsidRPr="00A56D55">
        <w:rPr>
          <w:rFonts w:ascii="Times New Roman" w:eastAsia="Times New Roman" w:hAnsi="Times New Roman" w:cs="Times New Roman"/>
          <w:iCs/>
          <w:sz w:val="24"/>
          <w:szCs w:val="24"/>
        </w:rPr>
        <w:t xml:space="preserve">da je intenzitet potpore identificiran u </w:t>
      </w:r>
      <w:r>
        <w:rPr>
          <w:rFonts w:ascii="Times New Roman" w:eastAsia="Times New Roman" w:hAnsi="Times New Roman" w:cs="Times New Roman"/>
          <w:iCs/>
          <w:sz w:val="24"/>
          <w:szCs w:val="24"/>
        </w:rPr>
        <w:t xml:space="preserve">obrascu </w:t>
      </w:r>
      <w:r w:rsidRPr="00A56D55">
        <w:rPr>
          <w:rFonts w:ascii="Times New Roman" w:eastAsia="Times New Roman" w:hAnsi="Times New Roman" w:cs="Times New Roman"/>
          <w:iCs/>
          <w:sz w:val="24"/>
          <w:szCs w:val="24"/>
        </w:rPr>
        <w:t>Financijs</w:t>
      </w:r>
      <w:r>
        <w:rPr>
          <w:rFonts w:ascii="Times New Roman" w:eastAsia="Times New Roman" w:hAnsi="Times New Roman" w:cs="Times New Roman"/>
          <w:iCs/>
          <w:sz w:val="24"/>
          <w:szCs w:val="24"/>
        </w:rPr>
        <w:t>ka</w:t>
      </w:r>
      <w:r w:rsidRPr="00A56D55">
        <w:rPr>
          <w:rFonts w:ascii="Times New Roman" w:eastAsia="Times New Roman" w:hAnsi="Times New Roman" w:cs="Times New Roman"/>
          <w:iCs/>
          <w:sz w:val="24"/>
          <w:szCs w:val="24"/>
        </w:rPr>
        <w:t xml:space="preserve"> i ekonomsk</w:t>
      </w:r>
      <w:r>
        <w:rPr>
          <w:rFonts w:ascii="Times New Roman" w:eastAsia="Times New Roman" w:hAnsi="Times New Roman" w:cs="Times New Roman"/>
          <w:iCs/>
          <w:sz w:val="24"/>
          <w:szCs w:val="24"/>
        </w:rPr>
        <w:t>a</w:t>
      </w:r>
      <w:r w:rsidRPr="00A56D55">
        <w:rPr>
          <w:rFonts w:ascii="Times New Roman" w:eastAsia="Times New Roman" w:hAnsi="Times New Roman" w:cs="Times New Roman"/>
          <w:iCs/>
          <w:sz w:val="24"/>
          <w:szCs w:val="24"/>
        </w:rPr>
        <w:t xml:space="preserve"> analiz</w:t>
      </w:r>
      <w:r>
        <w:rPr>
          <w:rFonts w:ascii="Times New Roman" w:eastAsia="Times New Roman" w:hAnsi="Times New Roman" w:cs="Times New Roman"/>
          <w:iCs/>
          <w:sz w:val="24"/>
          <w:szCs w:val="24"/>
        </w:rPr>
        <w:t>a</w:t>
      </w:r>
      <w:r w:rsidRPr="00A56D55">
        <w:rPr>
          <w:rFonts w:ascii="Times New Roman" w:eastAsia="Times New Roman" w:hAnsi="Times New Roman" w:cs="Times New Roman"/>
          <w:iCs/>
          <w:sz w:val="24"/>
          <w:szCs w:val="24"/>
        </w:rPr>
        <w:t xml:space="preserve"> bez promjene uključen u Prijavni obrazac (</w:t>
      </w:r>
      <w:r w:rsidRPr="00EF58D7">
        <w:rPr>
          <w:rFonts w:ascii="Times New Roman" w:eastAsia="Times New Roman" w:hAnsi="Times New Roman" w:cs="Times New Roman"/>
          <w:i/>
          <w:iCs/>
          <w:sz w:val="24"/>
          <w:szCs w:val="24"/>
        </w:rPr>
        <w:t>Obrazac 1. Prijavni obrazac – elektronska verzija</w:t>
      </w:r>
      <w:r w:rsidRPr="00A56D55">
        <w:rPr>
          <w:rFonts w:ascii="Times New Roman" w:eastAsia="Times New Roman" w:hAnsi="Times New Roman" w:cs="Times New Roman"/>
          <w:iCs/>
          <w:sz w:val="24"/>
          <w:szCs w:val="24"/>
        </w:rPr>
        <w:t>) koji se dostavlja temeljem ovog Ograničenog poziva.</w:t>
      </w:r>
      <w:r>
        <w:rPr>
          <w:rFonts w:ascii="Times New Roman" w:eastAsia="Times New Roman" w:hAnsi="Times New Roman" w:cs="Times New Roman"/>
          <w:iCs/>
          <w:sz w:val="24"/>
          <w:szCs w:val="24"/>
        </w:rPr>
        <w:t xml:space="preserve"> </w:t>
      </w:r>
    </w:p>
    <w:p w:rsidR="008C3715" w:rsidRPr="001F1EB0" w:rsidRDefault="008C3715" w:rsidP="008C3715">
      <w:pPr>
        <w:pStyle w:val="ListParagraph"/>
        <w:numPr>
          <w:ilvl w:val="1"/>
          <w:numId w:val="33"/>
        </w:numPr>
        <w:tabs>
          <w:tab w:val="left" w:pos="1257"/>
        </w:tabs>
        <w:spacing w:line="240" w:lineRule="auto"/>
        <w:ind w:left="709"/>
        <w:jc w:val="both"/>
        <w:rPr>
          <w:rFonts w:ascii="Times New Roman" w:eastAsia="Times New Roman" w:hAnsi="Times New Roman" w:cs="Times New Roman"/>
          <w:i/>
          <w:iCs/>
          <w:sz w:val="24"/>
          <w:szCs w:val="24"/>
        </w:rPr>
      </w:pPr>
      <w:r>
        <w:rPr>
          <w:rFonts w:ascii="Times New Roman" w:hAnsi="Times New Roman" w:cs="Times New Roman"/>
          <w:sz w:val="24"/>
          <w:szCs w:val="24"/>
        </w:rPr>
        <w:t>T</w:t>
      </w:r>
      <w:r w:rsidRPr="00A56D55">
        <w:rPr>
          <w:rFonts w:ascii="Times New Roman" w:hAnsi="Times New Roman" w:cs="Times New Roman"/>
          <w:sz w:val="24"/>
          <w:szCs w:val="24"/>
        </w:rPr>
        <w:t xml:space="preserve">roškovi Nositelja projekta naznačeni u Obrascu 1. Izjava – iskaz interesa, Javnog poziva za iskaz interesa za sudjelovanje u postupku pred-odabira, uključeni su u Financijsku i ekonomsku analizu u iznosu od </w:t>
      </w:r>
      <w:r>
        <w:rPr>
          <w:rFonts w:ascii="Times New Roman" w:hAnsi="Times New Roman" w:cs="Times New Roman"/>
          <w:sz w:val="24"/>
          <w:szCs w:val="24"/>
        </w:rPr>
        <w:t>&lt;</w:t>
      </w:r>
      <w:r w:rsidRPr="00A56D55">
        <w:rPr>
          <w:rFonts w:ascii="Times New Roman" w:hAnsi="Times New Roman" w:cs="Times New Roman"/>
          <w:i/>
          <w:sz w:val="24"/>
          <w:szCs w:val="24"/>
        </w:rPr>
        <w:t>upisati iznos</w:t>
      </w:r>
      <w:r>
        <w:rPr>
          <w:rFonts w:ascii="Times New Roman" w:hAnsi="Times New Roman" w:cs="Times New Roman"/>
          <w:sz w:val="24"/>
          <w:szCs w:val="24"/>
        </w:rPr>
        <w:t>&gt;</w:t>
      </w:r>
      <w:r w:rsidRPr="00A56D55">
        <w:rPr>
          <w:rFonts w:ascii="Times New Roman" w:hAnsi="Times New Roman" w:cs="Times New Roman"/>
          <w:sz w:val="24"/>
          <w:szCs w:val="24"/>
        </w:rPr>
        <w:t xml:space="preserve"> </w:t>
      </w:r>
      <w:r>
        <w:rPr>
          <w:rFonts w:ascii="Times New Roman" w:hAnsi="Times New Roman" w:cs="Times New Roman"/>
          <w:sz w:val="24"/>
          <w:szCs w:val="24"/>
        </w:rPr>
        <w:t>Eura</w:t>
      </w:r>
      <w:r w:rsidRPr="00A56D55">
        <w:rPr>
          <w:rFonts w:ascii="Times New Roman" w:hAnsi="Times New Roman" w:cs="Times New Roman"/>
          <w:sz w:val="24"/>
          <w:szCs w:val="24"/>
        </w:rPr>
        <w:t>.</w:t>
      </w:r>
    </w:p>
    <w:p w:rsidR="001F1EB0" w:rsidRPr="00A56D55" w:rsidRDefault="001F1EB0" w:rsidP="001F1EB0">
      <w:pPr>
        <w:pStyle w:val="ListParagraph"/>
        <w:tabs>
          <w:tab w:val="left" w:pos="1257"/>
        </w:tabs>
        <w:spacing w:line="240" w:lineRule="auto"/>
        <w:ind w:left="709"/>
        <w:jc w:val="both"/>
        <w:rPr>
          <w:rFonts w:ascii="Times New Roman" w:eastAsia="Times New Roman" w:hAnsi="Times New Roman" w:cs="Times New Roman"/>
          <w:i/>
          <w:iCs/>
          <w:sz w:val="24"/>
          <w:szCs w:val="24"/>
        </w:rPr>
      </w:pPr>
      <w:r w:rsidRPr="001F1EB0">
        <w:rPr>
          <w:rFonts w:ascii="Times New Roman" w:eastAsia="Times New Roman" w:hAnsi="Times New Roman" w:cs="Times New Roman"/>
          <w:i/>
          <w:iCs/>
          <w:sz w:val="24"/>
          <w:szCs w:val="24"/>
        </w:rPr>
        <w:t>NAPOMENA: primjenjivo za projekt koji se provodi po investicijskom modelu A</w:t>
      </w:r>
      <w:bookmarkStart w:id="0" w:name="_GoBack"/>
      <w:bookmarkEnd w:id="0"/>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775C5E" w:rsidRPr="00775C5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8154F8" w:rsidRPr="008154F8" w:rsidRDefault="008154F8" w:rsidP="001E19C5">
      <w:pPr>
        <w:pStyle w:val="ListParagraph"/>
        <w:numPr>
          <w:ilvl w:val="0"/>
          <w:numId w:val="30"/>
        </w:numPr>
        <w:jc w:val="both"/>
        <w:rPr>
          <w:rFonts w:ascii="Times New Roman" w:eastAsiaTheme="minorEastAsia" w:hAnsi="Times New Roman" w:cs="Times New Roman"/>
          <w:sz w:val="24"/>
          <w:szCs w:val="24"/>
        </w:rPr>
      </w:pPr>
      <w:r w:rsidRPr="008154F8">
        <w:rPr>
          <w:rFonts w:ascii="Times New Roman" w:eastAsiaTheme="minorEastAsia" w:hAnsi="Times New Roman" w:cs="Times New Roman"/>
          <w:sz w:val="24"/>
          <w:szCs w:val="24"/>
        </w:rPr>
        <w:t xml:space="preserve">Prijavitelj u okviru investicijskog modela A, odnosno poduzetnik  koji je u teškoćama kako je definirano u Komunikaciji komisije – Smjernice o državnim potporama za sanaciju i restrukturiranje nefinancijskih poduzetnika u teškoćama (2014/C 249/01) od 31. srpnja 2014;  </w:t>
      </w:r>
    </w:p>
    <w:p w:rsidR="008154F8" w:rsidRDefault="008154F8" w:rsidP="008154F8">
      <w:pPr>
        <w:pStyle w:val="ListParagraph"/>
        <w:numPr>
          <w:ilvl w:val="0"/>
          <w:numId w:val="30"/>
        </w:numPr>
        <w:rPr>
          <w:rFonts w:ascii="Times New Roman" w:eastAsiaTheme="minorEastAsia" w:hAnsi="Times New Roman" w:cs="Times New Roman"/>
          <w:sz w:val="24"/>
          <w:szCs w:val="24"/>
        </w:rPr>
      </w:pPr>
      <w:r w:rsidRPr="008154F8">
        <w:rPr>
          <w:rFonts w:ascii="Times New Roman" w:eastAsiaTheme="minorEastAsia" w:hAnsi="Times New Roman" w:cs="Times New Roman"/>
          <w:sz w:val="24"/>
          <w:szCs w:val="24"/>
        </w:rPr>
        <w:t>Prijavitelj u okviru investicijsk</w:t>
      </w:r>
      <w:r>
        <w:rPr>
          <w:rFonts w:ascii="Times New Roman" w:eastAsiaTheme="minorEastAsia" w:hAnsi="Times New Roman" w:cs="Times New Roman"/>
          <w:sz w:val="24"/>
          <w:szCs w:val="24"/>
        </w:rPr>
        <w:t>og</w:t>
      </w:r>
      <w:r w:rsidRPr="008154F8">
        <w:rPr>
          <w:rFonts w:ascii="Times New Roman" w:eastAsiaTheme="minorEastAsia" w:hAnsi="Times New Roman" w:cs="Times New Roman"/>
          <w:sz w:val="24"/>
          <w:szCs w:val="24"/>
        </w:rPr>
        <w:t xml:space="preserve"> modela B čiji su računi u blokadi;</w:t>
      </w:r>
    </w:p>
    <w:p w:rsidR="00053627" w:rsidRPr="00CF51A2" w:rsidRDefault="00053627" w:rsidP="00053627">
      <w:pPr>
        <w:pStyle w:val="ListParagraph"/>
        <w:numPr>
          <w:ilvl w:val="0"/>
          <w:numId w:val="36"/>
        </w:numPr>
        <w:spacing w:after="0" w:line="240" w:lineRule="auto"/>
        <w:jc w:val="both"/>
        <w:rPr>
          <w:rStyle w:val="apple-converted-space"/>
          <w:rFonts w:ascii="Times New Roman" w:hAnsi="Times New Roman" w:cs="Times New Roman"/>
          <w:sz w:val="28"/>
          <w:szCs w:val="24"/>
        </w:rPr>
      </w:pPr>
      <w:r w:rsidRPr="001B6371">
        <w:rPr>
          <w:rStyle w:val="normaltextrun"/>
          <w:rFonts w:ascii="Times New Roman" w:hAnsi="Times New Roman" w:cs="Times New Roman"/>
          <w:color w:val="000000"/>
          <w:sz w:val="24"/>
          <w:shd w:val="clear" w:color="auto" w:fill="FFFFFF"/>
        </w:rPr>
        <w:t xml:space="preserve">Prijavitelj </w:t>
      </w:r>
      <w:r w:rsidRPr="00A56D55">
        <w:rPr>
          <w:rFonts w:ascii="Times New Roman" w:hAnsi="Times New Roman" w:cs="Times New Roman"/>
          <w:sz w:val="24"/>
        </w:rPr>
        <w:t xml:space="preserve">protiv kojega je podnesen </w:t>
      </w:r>
      <w:r w:rsidRPr="00CF51A2">
        <w:rPr>
          <w:rFonts w:ascii="Times New Roman" w:hAnsi="Times New Roman" w:cs="Times New Roman"/>
          <w:sz w:val="24"/>
        </w:rPr>
        <w:t>prijedlog za pokretanje</w:t>
      </w:r>
      <w:r w:rsidRPr="00CF51A2">
        <w:rPr>
          <w:rFonts w:ascii="Times New Roman" w:hAnsi="Times New Roman" w:cs="Times New Roman"/>
          <w:b/>
          <w:bCs/>
          <w:sz w:val="24"/>
        </w:rPr>
        <w:t xml:space="preserve"> </w:t>
      </w:r>
      <w:proofErr w:type="spellStart"/>
      <w:r w:rsidRPr="00CF51A2">
        <w:rPr>
          <w:rFonts w:ascii="Times New Roman" w:hAnsi="Times New Roman" w:cs="Times New Roman"/>
          <w:b/>
          <w:bCs/>
          <w:sz w:val="24"/>
        </w:rPr>
        <w:t>predstečajnog</w:t>
      </w:r>
      <w:proofErr w:type="spellEnd"/>
      <w:r w:rsidRPr="00CF51A2">
        <w:rPr>
          <w:rFonts w:ascii="Times New Roman" w:hAnsi="Times New Roman" w:cs="Times New Roman"/>
          <w:b/>
          <w:bCs/>
          <w:sz w:val="24"/>
        </w:rPr>
        <w:t xml:space="preserve"> ili stečajnog postupka</w:t>
      </w:r>
      <w:r w:rsidRPr="00CF51A2">
        <w:rPr>
          <w:rFonts w:ascii="Times New Roman" w:hAnsi="Times New Roman" w:cs="Times New Roman"/>
          <w:sz w:val="24"/>
        </w:rPr>
        <w:t xml:space="preserve">; pokrenut </w:t>
      </w:r>
      <w:r w:rsidRPr="00CF51A2">
        <w:rPr>
          <w:rFonts w:ascii="Times New Roman" w:hAnsi="Times New Roman" w:cs="Times New Roman"/>
          <w:b/>
          <w:bCs/>
          <w:sz w:val="24"/>
        </w:rPr>
        <w:t>prethodni postupak</w:t>
      </w:r>
      <w:r w:rsidRPr="00CF51A2">
        <w:rPr>
          <w:rFonts w:ascii="Times New Roman" w:hAnsi="Times New Roman" w:cs="Times New Roman"/>
          <w:sz w:val="24"/>
        </w:rPr>
        <w:t xml:space="preserve"> radi utvrđivanja uvjeta za otvaranje stečajnog postupka; </w:t>
      </w:r>
      <w:r w:rsidRPr="00CF51A2">
        <w:rPr>
          <w:rFonts w:ascii="Times New Roman" w:hAnsi="Times New Roman" w:cs="Times New Roman"/>
          <w:b/>
          <w:bCs/>
          <w:sz w:val="24"/>
        </w:rPr>
        <w:t xml:space="preserve">otvoren </w:t>
      </w:r>
      <w:proofErr w:type="spellStart"/>
      <w:r w:rsidRPr="00CF51A2">
        <w:rPr>
          <w:rFonts w:ascii="Times New Roman" w:hAnsi="Times New Roman" w:cs="Times New Roman"/>
          <w:b/>
          <w:bCs/>
          <w:sz w:val="24"/>
        </w:rPr>
        <w:t>predstečajni</w:t>
      </w:r>
      <w:proofErr w:type="spellEnd"/>
      <w:r w:rsidRPr="00CF51A2">
        <w:rPr>
          <w:rFonts w:ascii="Times New Roman" w:hAnsi="Times New Roman" w:cs="Times New Roman"/>
          <w:b/>
          <w:bCs/>
          <w:sz w:val="24"/>
        </w:rPr>
        <w:t xml:space="preserve"> ili stečajni postupak</w:t>
      </w:r>
      <w:r w:rsidRPr="00CF51A2">
        <w:rPr>
          <w:rFonts w:ascii="Times New Roman" w:hAnsi="Times New Roman" w:cs="Times New Roman"/>
          <w:sz w:val="24"/>
        </w:rPr>
        <w:t xml:space="preserve">, ispunjeni uvjeti za pokretanje ili je pokrenut </w:t>
      </w:r>
      <w:r w:rsidRPr="00CF51A2">
        <w:rPr>
          <w:rFonts w:ascii="Times New Roman" w:hAnsi="Times New Roman" w:cs="Times New Roman"/>
          <w:b/>
          <w:bCs/>
          <w:sz w:val="24"/>
        </w:rPr>
        <w:t>postupak likvidacije</w:t>
      </w:r>
      <w:r w:rsidRPr="00CF51A2">
        <w:rPr>
          <w:rFonts w:ascii="Times New Roman" w:hAnsi="Times New Roman" w:cs="Times New Roman"/>
          <w:sz w:val="24"/>
        </w:rPr>
        <w:t xml:space="preserve"> (po službenoj dužnosti ili po prijedlogu); podnesen prijedlog za otvaranje </w:t>
      </w:r>
      <w:r w:rsidRPr="00CF51A2">
        <w:rPr>
          <w:rFonts w:ascii="Times New Roman" w:hAnsi="Times New Roman" w:cs="Times New Roman"/>
          <w:b/>
          <w:bCs/>
          <w:sz w:val="24"/>
        </w:rPr>
        <w:t>postupka izvanredne uprave</w:t>
      </w:r>
      <w:r w:rsidRPr="00CF51A2">
        <w:rPr>
          <w:rFonts w:ascii="Times New Roman" w:hAnsi="Times New Roman" w:cs="Times New Roman"/>
          <w:sz w:val="24"/>
        </w:rPr>
        <w:t xml:space="preserve">; kojim upravlja </w:t>
      </w:r>
      <w:r w:rsidRPr="00CF51A2">
        <w:rPr>
          <w:rFonts w:ascii="Times New Roman" w:hAnsi="Times New Roman" w:cs="Times New Roman"/>
          <w:b/>
          <w:bCs/>
          <w:sz w:val="24"/>
        </w:rPr>
        <w:t>osoba postavljena od strane nadležnog suda</w:t>
      </w:r>
      <w:r w:rsidRPr="00CF51A2">
        <w:rPr>
          <w:rFonts w:ascii="Times New Roman" w:hAnsi="Times New Roman" w:cs="Times New Roman"/>
          <w:sz w:val="24"/>
        </w:rPr>
        <w:t xml:space="preserve"> ili je pokrenut postupak nadležnog suda za postavljanje osobe koja će njime upravljati; koji je u </w:t>
      </w:r>
      <w:r w:rsidRPr="00CF51A2">
        <w:rPr>
          <w:rFonts w:ascii="Times New Roman" w:hAnsi="Times New Roman" w:cs="Times New Roman"/>
          <w:b/>
          <w:bCs/>
          <w:sz w:val="24"/>
        </w:rPr>
        <w:t>nagodbi s vjerovnicima</w:t>
      </w:r>
      <w:r w:rsidRPr="00CF51A2">
        <w:rPr>
          <w:rFonts w:ascii="Times New Roman" w:hAnsi="Times New Roman" w:cs="Times New Roman"/>
          <w:sz w:val="24"/>
        </w:rPr>
        <w:t xml:space="preserve"> ili je pokrenut postupak nagodbe s vjerovnicima; koji je </w:t>
      </w:r>
      <w:r w:rsidRPr="00CF51A2">
        <w:rPr>
          <w:rFonts w:ascii="Times New Roman" w:hAnsi="Times New Roman" w:cs="Times New Roman"/>
          <w:b/>
          <w:bCs/>
          <w:sz w:val="24"/>
        </w:rPr>
        <w:t>obustavio poslovne djelatnosti</w:t>
      </w:r>
      <w:r w:rsidRPr="00CF51A2">
        <w:rPr>
          <w:rFonts w:ascii="Times New Roman" w:hAnsi="Times New Roman" w:cs="Times New Roman"/>
          <w:sz w:val="24"/>
        </w:rPr>
        <w:t xml:space="preserve">, ili koji se nalazi u postupku koji su, prema propisima države njegova sjedišta ili </w:t>
      </w:r>
      <w:proofErr w:type="spellStart"/>
      <w:r w:rsidRPr="00CF51A2">
        <w:rPr>
          <w:rFonts w:ascii="Times New Roman" w:hAnsi="Times New Roman" w:cs="Times New Roman"/>
          <w:sz w:val="24"/>
        </w:rPr>
        <w:t>nastana</w:t>
      </w:r>
      <w:proofErr w:type="spellEnd"/>
      <w:r w:rsidRPr="00CF51A2">
        <w:rPr>
          <w:rFonts w:ascii="Times New Roman" w:hAnsi="Times New Roman" w:cs="Times New Roman"/>
          <w:sz w:val="24"/>
        </w:rPr>
        <w:t xml:space="preserve"> kojima se regulira pitanje </w:t>
      </w:r>
      <w:proofErr w:type="spellStart"/>
      <w:r w:rsidRPr="00CF51A2">
        <w:rPr>
          <w:rFonts w:ascii="Times New Roman" w:hAnsi="Times New Roman" w:cs="Times New Roman"/>
          <w:sz w:val="24"/>
        </w:rPr>
        <w:t>insolvencijskog</w:t>
      </w:r>
      <w:proofErr w:type="spellEnd"/>
      <w:r w:rsidRPr="00CF51A2">
        <w:rPr>
          <w:rFonts w:ascii="Times New Roman" w:hAnsi="Times New Roman" w:cs="Times New Roman"/>
          <w:sz w:val="24"/>
        </w:rPr>
        <w:t xml:space="preserve"> prava, slični svim prethodno navedenim postupcima</w:t>
      </w:r>
      <w:r w:rsidRPr="00CF51A2">
        <w:rPr>
          <w:rStyle w:val="normaltextrun"/>
          <w:rFonts w:ascii="Times New Roman" w:hAnsi="Times New Roman" w:cs="Times New Roman"/>
          <w:color w:val="000000"/>
          <w:sz w:val="24"/>
          <w:shd w:val="clear" w:color="auto" w:fill="FFFFFF"/>
        </w:rPr>
        <w:t>;</w:t>
      </w:r>
      <w:r w:rsidRPr="00CF51A2">
        <w:rPr>
          <w:rStyle w:val="apple-converted-space"/>
          <w:rFonts w:ascii="Times New Roman" w:hAnsi="Times New Roman" w:cs="Times New Roman"/>
          <w:color w:val="000000"/>
          <w:sz w:val="24"/>
          <w:shd w:val="clear" w:color="auto" w:fill="FFFFFF"/>
        </w:rPr>
        <w:t> </w:t>
      </w:r>
    </w:p>
    <w:p w:rsidR="001E19C5" w:rsidRPr="001B6054" w:rsidRDefault="001E19C5" w:rsidP="001E19C5">
      <w:pPr>
        <w:pStyle w:val="ListParagraph"/>
        <w:numPr>
          <w:ilvl w:val="0"/>
          <w:numId w:val="30"/>
        </w:numPr>
        <w:spacing w:after="120"/>
        <w:jc w:val="both"/>
        <w:rPr>
          <w:rFonts w:ascii="Times New Roman" w:eastAsiaTheme="minorEastAsia" w:hAnsi="Times New Roman" w:cs="Times New Roman"/>
          <w:sz w:val="24"/>
          <w:szCs w:val="24"/>
        </w:rPr>
      </w:pPr>
      <w:r w:rsidRPr="001B6054">
        <w:rPr>
          <w:rFonts w:ascii="Times New Roman" w:eastAsiaTheme="minorEastAsia" w:hAnsi="Times New Roman" w:cs="Times New Roman"/>
          <w:sz w:val="24"/>
          <w:szCs w:val="24"/>
        </w:rPr>
        <w:t>da 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1E19C5" w:rsidRDefault="001E19C5" w:rsidP="001E19C5">
      <w:pPr>
        <w:pStyle w:val="ListParagraph"/>
        <w:numPr>
          <w:ilvl w:val="0"/>
          <w:numId w:val="30"/>
        </w:numPr>
        <w:spacing w:after="120"/>
        <w:jc w:val="both"/>
        <w:rPr>
          <w:rFonts w:ascii="Times New Roman" w:eastAsiaTheme="minorEastAsia" w:hAnsi="Times New Roman" w:cs="Times New Roman"/>
          <w:sz w:val="24"/>
          <w:szCs w:val="24"/>
        </w:rPr>
      </w:pPr>
      <w:r w:rsidRPr="001B6054">
        <w:rPr>
          <w:rFonts w:ascii="Times New Roman" w:eastAsiaTheme="minorEastAsia" w:hAnsi="Times New Roman" w:cs="Times New Roman"/>
          <w:sz w:val="24"/>
          <w:szCs w:val="24"/>
        </w:rPr>
        <w:t>da je Prijavitelj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lastRenderedPageBreak/>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w:t>
      </w:r>
      <w:r w:rsidR="002A4511">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w:t>
      </w:r>
      <w:r w:rsidRPr="00CB1BA8">
        <w:rPr>
          <w:rFonts w:ascii="Times New Roman" w:hAnsi="Times New Roman" w:cs="Times New Roman"/>
          <w:color w:val="000000"/>
          <w:sz w:val="24"/>
          <w:szCs w:val="24"/>
          <w:shd w:val="clear" w:color="auto" w:fill="FFFFFF"/>
        </w:rPr>
        <w:lastRenderedPageBreak/>
        <w:t xml:space="preserve">mita)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rsidR="00821EB2" w:rsidRPr="00A56D55" w:rsidRDefault="00821EB2" w:rsidP="00821EB2">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21EB2">
        <w:rPr>
          <w:rFonts w:ascii="Times New Roman" w:eastAsia="Times New Roman" w:hAnsi="Times New Roman" w:cs="Times New Roman"/>
          <w:sz w:val="24"/>
          <w:szCs w:val="24"/>
        </w:rPr>
        <w:t xml:space="preserve">da je protiv Prijavitelja </w:t>
      </w:r>
      <w:bookmarkStart w:id="3" w:name="_Hlk182683"/>
      <w:r w:rsidRPr="00821EB2">
        <w:rPr>
          <w:rFonts w:ascii="Times New Roman" w:eastAsia="Times New Roman" w:hAnsi="Times New Roman" w:cs="Times New Roman"/>
          <w:sz w:val="24"/>
          <w:szCs w:val="24"/>
        </w:rPr>
        <w:t xml:space="preserve">koji nema poslovni </w:t>
      </w:r>
      <w:proofErr w:type="spellStart"/>
      <w:r w:rsidRPr="00821EB2">
        <w:rPr>
          <w:rFonts w:ascii="Times New Roman" w:eastAsia="Times New Roman" w:hAnsi="Times New Roman" w:cs="Times New Roman"/>
          <w:sz w:val="24"/>
          <w:szCs w:val="24"/>
        </w:rPr>
        <w:t>nastan</w:t>
      </w:r>
      <w:proofErr w:type="spellEnd"/>
      <w:r w:rsidRPr="00821EB2">
        <w:rPr>
          <w:rFonts w:ascii="Times New Roman" w:eastAsia="Times New Roman" w:hAnsi="Times New Roman" w:cs="Times New Roman"/>
          <w:sz w:val="24"/>
          <w:szCs w:val="24"/>
        </w:rPr>
        <w:t xml:space="preserve"> u Republici Hrvatskoj ili osobe koja je član upravnog, upravljačkog ili nadzornog tijela ili ima ovlasti zastupanja, donošenja odluka ili nadzora toga gospodarskog subjekta i koja nije državljanin Republike Hrvatske izrečena </w:t>
      </w:r>
      <w:r w:rsidRPr="00821EB2">
        <w:rPr>
          <w:rFonts w:ascii="Times New Roman" w:eastAsia="Times New Roman" w:hAnsi="Times New Roman" w:cs="Times New Roman"/>
          <w:b/>
          <w:sz w:val="24"/>
          <w:szCs w:val="24"/>
        </w:rPr>
        <w:t>pravomoćna sudska presuda</w:t>
      </w:r>
      <w:r w:rsidRPr="00821EB2">
        <w:rPr>
          <w:rFonts w:ascii="Times New Roman" w:eastAsia="Times New Roman" w:hAnsi="Times New Roman" w:cs="Times New Roman"/>
          <w:sz w:val="24"/>
          <w:szCs w:val="24"/>
        </w:rPr>
        <w:t xml:space="preserve"> kojom je osuđen za kaznena djela iz točke e) ove izjave i/ili za odgovarajuća kaznena djela, prema nacionalnim propisima države poslovnog </w:t>
      </w:r>
      <w:proofErr w:type="spellStart"/>
      <w:r w:rsidRPr="00821EB2">
        <w:rPr>
          <w:rFonts w:ascii="Times New Roman" w:eastAsia="Times New Roman" w:hAnsi="Times New Roman" w:cs="Times New Roman"/>
          <w:sz w:val="24"/>
          <w:szCs w:val="24"/>
        </w:rPr>
        <w:t>nastana</w:t>
      </w:r>
      <w:proofErr w:type="spellEnd"/>
      <w:r w:rsidRPr="00821EB2">
        <w:rPr>
          <w:rFonts w:ascii="Times New Roman" w:eastAsia="Times New Roman" w:hAnsi="Times New Roman" w:cs="Times New Roman"/>
          <w:sz w:val="24"/>
          <w:szCs w:val="24"/>
        </w:rPr>
        <w:t xml:space="preserve"> gospodarskog subjekta ili države čiji je državljanin osoba koja je član upravnog, upravljačkog ili nadzornog tijela ili ima ovlasti zastupanja, donošenja odluka ili nadzora toga gospodarskog subjekta;</w:t>
      </w:r>
      <w:bookmarkEnd w:id="3"/>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3"/>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4"/>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lastRenderedPageBreak/>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7D0684">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w:t>
      </w:r>
      <w:r w:rsidR="002711D9">
        <w:rPr>
          <w:rFonts w:ascii="Times New Roman" w:eastAsia="Times New Roman" w:hAnsi="Times New Roman" w:cs="Times New Roman"/>
          <w:sz w:val="24"/>
          <w:szCs w:val="24"/>
        </w:rPr>
        <w:t>Prijavitelja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je operacija u skladu</w:t>
      </w:r>
      <w:r w:rsidRPr="00926B1E">
        <w:t xml:space="preserve"> </w:t>
      </w:r>
      <w:r w:rsidRPr="00926B1E">
        <w:rPr>
          <w:rFonts w:ascii="Times New Roman" w:eastAsia="Times New Roman" w:hAnsi="Times New Roman" w:cs="Times New Roman"/>
          <w:sz w:val="24"/>
          <w:szCs w:val="24"/>
        </w:rPr>
        <w:t>s nacionalnim propisima i propisima EU vezanim uz zaštitu okoliša</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u trenutku podnošenja projektnog prijedloga nije fizički niti financijski završena</w:t>
      </w:r>
    </w:p>
    <w:p w:rsidR="00AF2E17" w:rsidRPr="00926B1E"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se operacija, opisana u projektnom prijedlogu, ne bi mog</w:t>
      </w:r>
      <w:r w:rsidR="00440423" w:rsidRPr="00926B1E">
        <w:rPr>
          <w:rFonts w:ascii="Times New Roman" w:eastAsia="Times New Roman" w:hAnsi="Times New Roman" w:cs="Times New Roman"/>
          <w:sz w:val="24"/>
          <w:szCs w:val="24"/>
        </w:rPr>
        <w:t>l</w:t>
      </w:r>
      <w:r w:rsidRPr="00926B1E">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Pr="00C52253"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C52253">
        <w:rPr>
          <w:rFonts w:ascii="Times New Roman" w:eastAsia="Times New Roman" w:hAnsi="Times New Roman" w:cs="Times New Roman"/>
          <w:sz w:val="24"/>
          <w:szCs w:val="24"/>
        </w:rPr>
        <w:t xml:space="preserve">aktivnosti operacije se provode u razdoblju od 01. </w:t>
      </w:r>
      <w:r w:rsidR="003F67ED" w:rsidRPr="00C52253">
        <w:rPr>
          <w:rFonts w:ascii="Times New Roman" w:eastAsia="Times New Roman" w:hAnsi="Times New Roman" w:cs="Times New Roman"/>
          <w:sz w:val="24"/>
          <w:szCs w:val="24"/>
        </w:rPr>
        <w:t>siječnja</w:t>
      </w:r>
      <w:r w:rsidRPr="00C52253">
        <w:rPr>
          <w:rFonts w:ascii="Times New Roman" w:eastAsia="Times New Roman" w:hAnsi="Times New Roman" w:cs="Times New Roman"/>
          <w:sz w:val="24"/>
          <w:szCs w:val="24"/>
        </w:rPr>
        <w:t xml:space="preserve"> </w:t>
      </w:r>
      <w:r w:rsidR="00A55C89" w:rsidRPr="00C52253">
        <w:rPr>
          <w:rFonts w:ascii="Times New Roman" w:eastAsia="Times New Roman" w:hAnsi="Times New Roman" w:cs="Times New Roman"/>
          <w:sz w:val="24"/>
          <w:szCs w:val="24"/>
        </w:rPr>
        <w:t>202</w:t>
      </w:r>
      <w:r w:rsidR="003F67ED" w:rsidRPr="00C52253">
        <w:rPr>
          <w:rFonts w:ascii="Times New Roman" w:eastAsia="Times New Roman" w:hAnsi="Times New Roman" w:cs="Times New Roman"/>
          <w:sz w:val="24"/>
          <w:szCs w:val="24"/>
        </w:rPr>
        <w:t>2</w:t>
      </w:r>
      <w:r w:rsidR="00A55C89" w:rsidRPr="00C52253">
        <w:rPr>
          <w:rFonts w:ascii="Times New Roman" w:eastAsia="Times New Roman" w:hAnsi="Times New Roman" w:cs="Times New Roman"/>
          <w:sz w:val="24"/>
          <w:szCs w:val="24"/>
        </w:rPr>
        <w:t xml:space="preserve"> godine do 3</w:t>
      </w:r>
      <w:r w:rsidR="008E4987" w:rsidRPr="00C52253">
        <w:rPr>
          <w:rFonts w:ascii="Times New Roman" w:eastAsia="Times New Roman" w:hAnsi="Times New Roman" w:cs="Times New Roman"/>
          <w:sz w:val="24"/>
          <w:szCs w:val="24"/>
        </w:rPr>
        <w:t>0</w:t>
      </w:r>
      <w:r w:rsidR="00A55C89" w:rsidRPr="00C52253">
        <w:rPr>
          <w:rFonts w:ascii="Times New Roman" w:eastAsia="Times New Roman" w:hAnsi="Times New Roman" w:cs="Times New Roman"/>
          <w:sz w:val="24"/>
          <w:szCs w:val="24"/>
        </w:rPr>
        <w:t>.</w:t>
      </w:r>
      <w:r w:rsidR="002A6476" w:rsidRPr="00C52253">
        <w:rPr>
          <w:rFonts w:ascii="Times New Roman" w:eastAsia="Times New Roman" w:hAnsi="Times New Roman" w:cs="Times New Roman"/>
          <w:sz w:val="24"/>
          <w:szCs w:val="24"/>
        </w:rPr>
        <w:t xml:space="preserve"> </w:t>
      </w:r>
      <w:r w:rsidR="008E4987" w:rsidRPr="00C52253">
        <w:rPr>
          <w:rFonts w:ascii="Times New Roman" w:eastAsia="Times New Roman" w:hAnsi="Times New Roman" w:cs="Times New Roman"/>
          <w:sz w:val="24"/>
          <w:szCs w:val="24"/>
        </w:rPr>
        <w:t>lipnja</w:t>
      </w:r>
      <w:r w:rsidR="002A6476" w:rsidRPr="00C52253">
        <w:rPr>
          <w:rFonts w:ascii="Times New Roman" w:eastAsia="Times New Roman" w:hAnsi="Times New Roman" w:cs="Times New Roman"/>
          <w:sz w:val="24"/>
          <w:szCs w:val="24"/>
        </w:rPr>
        <w:t xml:space="preserve"> </w:t>
      </w:r>
      <w:r w:rsidR="00A55C89" w:rsidRPr="00C52253">
        <w:rPr>
          <w:rFonts w:ascii="Times New Roman" w:eastAsia="Times New Roman" w:hAnsi="Times New Roman" w:cs="Times New Roman"/>
          <w:sz w:val="24"/>
          <w:szCs w:val="24"/>
        </w:rPr>
        <w:t>202</w:t>
      </w:r>
      <w:r w:rsidR="00FA75AA" w:rsidRPr="00C52253">
        <w:rPr>
          <w:rFonts w:ascii="Times New Roman" w:eastAsia="Times New Roman" w:hAnsi="Times New Roman" w:cs="Times New Roman"/>
          <w:sz w:val="24"/>
          <w:szCs w:val="24"/>
        </w:rPr>
        <w:t>6</w:t>
      </w:r>
      <w:r w:rsidR="00A55C89" w:rsidRPr="00C52253">
        <w:rPr>
          <w:rFonts w:ascii="Times New Roman" w:eastAsia="Times New Roman" w:hAnsi="Times New Roman" w:cs="Times New Roman"/>
          <w:sz w:val="24"/>
          <w:szCs w:val="24"/>
        </w:rPr>
        <w:t>.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4A24A0" w:rsidRPr="007D16A7" w:rsidRDefault="004A24A0" w:rsidP="007D16A7">
      <w:pPr>
        <w:pStyle w:val="ListParagraph"/>
        <w:numPr>
          <w:ilvl w:val="0"/>
          <w:numId w:val="31"/>
        </w:numPr>
        <w:tabs>
          <w:tab w:val="left" w:pos="851"/>
        </w:tabs>
        <w:spacing w:after="120"/>
        <w:contextualSpacing w:val="0"/>
        <w:jc w:val="both"/>
        <w:rPr>
          <w:rFonts w:ascii="Times New Roman" w:eastAsiaTheme="majorEastAsia" w:hAnsi="Times New Roman" w:cs="Times New Roman"/>
          <w:bCs/>
          <w:iCs/>
          <w:sz w:val="24"/>
          <w:szCs w:val="24"/>
        </w:rPr>
      </w:pPr>
      <w:r w:rsidRPr="007D16A7">
        <w:rPr>
          <w:rFonts w:ascii="Times New Roman" w:eastAsiaTheme="majorEastAsia" w:hAnsi="Times New Roman" w:cs="Times New Roman"/>
          <w:bCs/>
          <w:iCs/>
          <w:sz w:val="24"/>
          <w:szCs w:val="24"/>
        </w:rPr>
        <w:t>da je uz Prijavni obrazac (Obrazac 1. Prijavni obrazac) dostavljena dokumentacija navedena u Uputama za prijavitelje i da je ista u potpunosti usklađena sa zahtjevima iz Uputa za prijavitelje, da su podaci sadržani u dokumentaciji projektnog prijedloga u postupku dodjele bespovratnih sredstava, istiniti i točni, te da sam upoznat s činjenicom da prijava može biti odbijena ukoliko se ne dostave svi traženi podaci (uključujući i ovu Izjavu), te da ću dostaviti izvorni</w:t>
      </w:r>
      <w:r w:rsidR="009C13DA" w:rsidRPr="007D16A7">
        <w:rPr>
          <w:rFonts w:ascii="Times New Roman" w:eastAsiaTheme="majorEastAsia" w:hAnsi="Times New Roman" w:cs="Times New Roman"/>
          <w:bCs/>
          <w:iCs/>
          <w:sz w:val="24"/>
          <w:szCs w:val="24"/>
        </w:rPr>
        <w:t>ke odmah po zahtjevu,</w:t>
      </w:r>
    </w:p>
    <w:p w:rsidR="001637FE" w:rsidRPr="000E1149" w:rsidRDefault="001637FE" w:rsidP="001637FE">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Prijavitelja za osiguranje trajnosti operacije na način da se neposredni učinci i rezultati ulaganja ostvareni provedbom projekta očuvaju i koriste pod uvjetima pod kojima su odobreni</w:t>
      </w:r>
      <w:r w:rsidR="009C13DA">
        <w:rPr>
          <w:rFonts w:ascii="Times New Roman" w:eastAsia="Times New Roman" w:hAnsi="Times New Roman" w:cs="Times New Roman"/>
          <w:sz w:val="24"/>
          <w:szCs w:val="24"/>
        </w:rPr>
        <w:t>,</w:t>
      </w:r>
    </w:p>
    <w:p w:rsidR="00BB3949" w:rsidRPr="00813160"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9C13DA">
        <w:rPr>
          <w:rFonts w:ascii="Times New Roman" w:eastAsiaTheme="majorEastAsia" w:hAnsi="Times New Roman" w:cs="Times New Roman"/>
          <w:bCs/>
          <w:iCs/>
          <w:sz w:val="24"/>
          <w:szCs w:val="24"/>
        </w:rPr>
        <w:t>,</w:t>
      </w:r>
    </w:p>
    <w:p w:rsidR="00813160" w:rsidRPr="000E1149" w:rsidRDefault="00813160" w:rsidP="00813160">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813160">
        <w:rPr>
          <w:rFonts w:ascii="Times New Roman" w:eastAsia="Times New Roman" w:hAnsi="Times New Roman" w:cs="Times New Roman"/>
          <w:sz w:val="24"/>
          <w:szCs w:val="24"/>
        </w:rPr>
        <w:t>PDV na troškove Prijavitelja koji nastaju u okviru projekta je / nije (zaokružiti) povrativ kroz redovno poslovanje;</w:t>
      </w:r>
    </w:p>
    <w:p w:rsidR="009C13DA" w:rsidRPr="00D14DE9" w:rsidRDefault="009C13DA" w:rsidP="00D14DE9">
      <w:pPr>
        <w:pStyle w:val="ListParagraph"/>
        <w:numPr>
          <w:ilvl w:val="0"/>
          <w:numId w:val="31"/>
        </w:numPr>
        <w:tabs>
          <w:tab w:val="left" w:pos="851"/>
        </w:tabs>
        <w:spacing w:after="120"/>
        <w:contextualSpacing w:val="0"/>
        <w:jc w:val="both"/>
        <w:rPr>
          <w:rFonts w:ascii="Times New Roman" w:eastAsiaTheme="majorEastAsia" w:hAnsi="Times New Roman" w:cs="Times New Roman"/>
          <w:bCs/>
          <w:iCs/>
          <w:sz w:val="24"/>
          <w:szCs w:val="24"/>
        </w:rPr>
      </w:pPr>
      <w:r w:rsidRPr="00D14DE9">
        <w:rPr>
          <w:rFonts w:ascii="Times New Roman" w:eastAsiaTheme="majorEastAsia" w:hAnsi="Times New Roman" w:cs="Times New Roman"/>
          <w:bCs/>
          <w:iCs/>
          <w:sz w:val="24"/>
          <w:szCs w:val="24"/>
        </w:rPr>
        <w:t xml:space="preserve">da će se, ukoliko u trenutku podnošenja projektnog prijedloga nije, imenovati stručni projektni tim koji uključuje aspekte financijskih, stručnih, iskustvenih i administrativnih kapaciteta za provedbu Projekta, te da će odgovornosti imenovanih članova projektnog tima za upravljanje i provedbu Projekta biti definirane i raspoređene kako slijedi </w:t>
      </w:r>
      <w:r w:rsidRPr="00D14DE9">
        <w:rPr>
          <w:rFonts w:ascii="Times New Roman" w:eastAsiaTheme="majorEastAsia" w:hAnsi="Times New Roman" w:cs="Times New Roman"/>
          <w:bCs/>
          <w:i/>
          <w:iCs/>
          <w:sz w:val="24"/>
          <w:szCs w:val="24"/>
        </w:rPr>
        <w:t>(ukratko opisati iskustvo u provedbi i vođenju projekata. Potrebno ukratko navesti relevantno iskustvo predloženih članova temeljem kojeg su imenovani, kao i opisati kako su definirane i raspoređene odgovornosti imenovanih članova projektnog tima za provedbu projektnih aktivnosti),</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w:t>
      </w:r>
      <w:r w:rsidRPr="002A345F">
        <w:rPr>
          <w:rFonts w:ascii="Times New Roman" w:eastAsia="Times New Roman" w:hAnsi="Times New Roman" w:cs="Times New Roman"/>
          <w:sz w:val="24"/>
          <w:szCs w:val="24"/>
        </w:rPr>
        <w:t>sredstvima koja ne predstavljaju sredstva iz bilo kojeg javnog izvora</w:t>
      </w:r>
      <w:r w:rsidRPr="000E1149">
        <w:rPr>
          <w:rFonts w:ascii="Times New Roman" w:eastAsia="Times New Roman" w:hAnsi="Times New Roman" w:cs="Times New Roman"/>
          <w:sz w:val="24"/>
          <w:szCs w:val="24"/>
        </w:rPr>
        <w:t>, uključujući sredstva Unije)</w:t>
      </w:r>
      <w:r w:rsidR="009C13DA">
        <w:rPr>
          <w:rFonts w:ascii="Times New Roman" w:eastAsia="Times New Roman" w:hAnsi="Times New Roman" w:cs="Times New Roman"/>
          <w:sz w:val="24"/>
          <w:szCs w:val="24"/>
        </w:rPr>
        <w:t>.</w:t>
      </w:r>
    </w:p>
    <w:p w:rsidR="009C13DA" w:rsidRDefault="009C13DA" w:rsidP="009C13DA">
      <w:pPr>
        <w:tabs>
          <w:tab w:val="left" w:pos="851"/>
        </w:tabs>
        <w:spacing w:after="120"/>
        <w:jc w:val="both"/>
        <w:rPr>
          <w:rFonts w:ascii="Times New Roman" w:eastAsia="Times New Roman" w:hAnsi="Times New Roman" w:cs="Times New Roman"/>
          <w:sz w:val="24"/>
          <w:szCs w:val="24"/>
        </w:rPr>
      </w:pPr>
    </w:p>
    <w:p w:rsidR="009C13DA" w:rsidRPr="00F7436B" w:rsidRDefault="009C13DA" w:rsidP="009C13DA">
      <w:pPr>
        <w:tabs>
          <w:tab w:val="left" w:pos="1257"/>
        </w:tabs>
        <w:jc w:val="both"/>
        <w:rPr>
          <w:rFonts w:ascii="Times New Roman" w:eastAsia="Times New Roman" w:hAnsi="Times New Roman" w:cs="Times New Roman"/>
          <w:sz w:val="24"/>
          <w:szCs w:val="24"/>
        </w:rPr>
      </w:pPr>
      <w:r w:rsidRPr="00280B27">
        <w:rPr>
          <w:rFonts w:ascii="Times New Roman" w:eastAsia="Times New Roman" w:hAnsi="Times New Roman" w:cs="Times New Roman"/>
          <w:sz w:val="24"/>
          <w:szCs w:val="24"/>
        </w:rPr>
        <w:t xml:space="preserve">Potpisom ove Izjave osobno i u ime Prijavitelja potvrđujem da su na strani Prijavitelja  </w:t>
      </w:r>
      <w:r w:rsidRPr="00F7436B">
        <w:rPr>
          <w:rFonts w:ascii="Times New Roman" w:eastAsia="Times New Roman" w:hAnsi="Times New Roman" w:cs="Times New Roman"/>
          <w:b/>
          <w:bCs/>
          <w:sz w:val="24"/>
          <w:szCs w:val="24"/>
        </w:rPr>
        <w:t>ispunjeni preduvjeti za sudjelovanje u postupku dodjele bespovratnih sredstava</w:t>
      </w:r>
      <w:r w:rsidRPr="00F7436B">
        <w:rPr>
          <w:rFonts w:ascii="Times New Roman" w:eastAsia="Times New Roman" w:hAnsi="Times New Roman" w:cs="Times New Roman"/>
          <w:sz w:val="24"/>
          <w:szCs w:val="24"/>
        </w:rPr>
        <w:t xml:space="preserve">, odnosno: </w:t>
      </w:r>
    </w:p>
    <w:p w:rsidR="009C13DA" w:rsidRPr="006A7E4C" w:rsidRDefault="009C13DA" w:rsidP="006A7E4C">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A7E4C">
        <w:rPr>
          <w:rFonts w:ascii="Times New Roman" w:eastAsia="Times New Roman" w:hAnsi="Times New Roman" w:cs="Times New Roman"/>
          <w:sz w:val="24"/>
          <w:szCs w:val="24"/>
        </w:rPr>
        <w:t xml:space="preserve">da </w:t>
      </w:r>
      <w:r w:rsidR="006A7E4C" w:rsidRPr="006A7E4C">
        <w:rPr>
          <w:rFonts w:ascii="Times New Roman" w:eastAsia="Times New Roman" w:hAnsi="Times New Roman" w:cs="Times New Roman"/>
          <w:sz w:val="24"/>
          <w:szCs w:val="24"/>
        </w:rPr>
        <w:t>Projekt osigurava VHCN širokopojasni pristup svim stanovima, poslovnim i javnim korisnicima u okviru PRŠI-ja</w:t>
      </w:r>
    </w:p>
    <w:p w:rsidR="009C13DA" w:rsidRDefault="009C13DA" w:rsidP="009C13DA">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ću </w:t>
      </w:r>
      <w:r w:rsidRPr="00F85005">
        <w:rPr>
          <w:rFonts w:ascii="Times New Roman" w:eastAsia="Times New Roman" w:hAnsi="Times New Roman" w:cs="Times New Roman"/>
          <w:sz w:val="24"/>
          <w:szCs w:val="24"/>
        </w:rPr>
        <w:t xml:space="preserve">zajedno sa </w:t>
      </w:r>
      <w:r>
        <w:rPr>
          <w:rFonts w:ascii="Times New Roman" w:eastAsia="Times New Roman" w:hAnsi="Times New Roman" w:cs="Times New Roman"/>
          <w:sz w:val="24"/>
          <w:szCs w:val="24"/>
        </w:rPr>
        <w:t xml:space="preserve">partnerom </w:t>
      </w:r>
      <w:r w:rsidRPr="00F85005">
        <w:rPr>
          <w:rFonts w:ascii="Times New Roman" w:eastAsia="Times New Roman" w:hAnsi="Times New Roman" w:cs="Times New Roman"/>
          <w:sz w:val="24"/>
          <w:szCs w:val="24"/>
        </w:rPr>
        <w:t>osigurati učinkovitu uporabu sredstava u skladu s načelima ekonomičnosti, učinkovitosti i djelotvornosti.</w:t>
      </w:r>
    </w:p>
    <w:p w:rsidR="009C13DA" w:rsidRPr="00D32080" w:rsidRDefault="009C13DA" w:rsidP="004B20CB">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80B27">
        <w:rPr>
          <w:rFonts w:ascii="Times New Roman" w:eastAsia="Times New Roman" w:hAnsi="Times New Roman" w:cs="Times New Roman"/>
          <w:sz w:val="24"/>
          <w:szCs w:val="24"/>
        </w:rPr>
        <w:lastRenderedPageBreak/>
        <w:t xml:space="preserve">da ću zajedno sa svojim partnerom (ako je primjenjivo) osigurati </w:t>
      </w:r>
      <w:r>
        <w:rPr>
          <w:rFonts w:ascii="Times New Roman" w:eastAsia="Times New Roman" w:hAnsi="Times New Roman" w:cs="Times New Roman"/>
          <w:sz w:val="24"/>
          <w:szCs w:val="24"/>
        </w:rPr>
        <w:t xml:space="preserve">održivost </w:t>
      </w:r>
      <w:r w:rsidRPr="00280B27">
        <w:rPr>
          <w:rFonts w:ascii="Times New Roman" w:eastAsia="Times New Roman" w:hAnsi="Times New Roman" w:cs="Times New Roman"/>
          <w:sz w:val="24"/>
          <w:szCs w:val="24"/>
        </w:rPr>
        <w:t xml:space="preserve">Projekta </w:t>
      </w:r>
      <w:r>
        <w:rPr>
          <w:rFonts w:ascii="Times New Roman" w:eastAsia="Times New Roman" w:hAnsi="Times New Roman" w:cs="Times New Roman"/>
          <w:sz w:val="24"/>
          <w:szCs w:val="24"/>
        </w:rPr>
        <w:t xml:space="preserve">i projektnih rezultata </w:t>
      </w:r>
      <w:r w:rsidRPr="00280B27">
        <w:rPr>
          <w:rFonts w:ascii="Times New Roman" w:eastAsia="Times New Roman" w:hAnsi="Times New Roman" w:cs="Times New Roman"/>
          <w:sz w:val="24"/>
          <w:szCs w:val="24"/>
        </w:rPr>
        <w:t>tijekom razdoblja navedenog u Programu</w:t>
      </w:r>
      <w:r w:rsidRPr="00F7436B">
        <w:rPr>
          <w:rFonts w:ascii="Times New Roman" w:eastAsia="Times New Roman" w:hAnsi="Times New Roman" w:cs="Times New Roman"/>
          <w:sz w:val="24"/>
          <w:szCs w:val="24"/>
        </w:rPr>
        <w:t xml:space="preserve"> državnih potpora, a koji je odobrila EK u predmetu: Državna potpora SA.38626 (2015/N) – Hrvatska </w:t>
      </w:r>
      <w:r w:rsidR="004B20CB">
        <w:rPr>
          <w:rFonts w:ascii="Times New Roman" w:eastAsia="Times New Roman" w:hAnsi="Times New Roman" w:cs="Times New Roman"/>
          <w:sz w:val="24"/>
          <w:szCs w:val="24"/>
        </w:rPr>
        <w:t xml:space="preserve"> i </w:t>
      </w:r>
      <w:r w:rsidR="004B20CB" w:rsidRPr="004B20CB">
        <w:rPr>
          <w:rFonts w:ascii="Times New Roman" w:eastAsia="Times New Roman" w:hAnsi="Times New Roman" w:cs="Times New Roman"/>
          <w:sz w:val="24"/>
          <w:szCs w:val="24"/>
        </w:rPr>
        <w:t>Odluk</w:t>
      </w:r>
      <w:r w:rsidR="004B20CB">
        <w:rPr>
          <w:rFonts w:ascii="Times New Roman" w:eastAsia="Times New Roman" w:hAnsi="Times New Roman" w:cs="Times New Roman"/>
          <w:sz w:val="24"/>
          <w:szCs w:val="24"/>
        </w:rPr>
        <w:t>om</w:t>
      </w:r>
      <w:r w:rsidR="004B20CB" w:rsidRPr="004B20CB">
        <w:rPr>
          <w:rFonts w:ascii="Times New Roman" w:eastAsia="Times New Roman" w:hAnsi="Times New Roman" w:cs="Times New Roman"/>
          <w:sz w:val="24"/>
          <w:szCs w:val="24"/>
        </w:rPr>
        <w:t xml:space="preserve"> o spojivosti predmetne izmjene u skladu s člankom 107. stavkom 3. UFEU u predmetu pod brojem SA.100662 (2021/N). </w:t>
      </w:r>
      <w:r w:rsidRPr="00F7436B">
        <w:rPr>
          <w:rFonts w:ascii="Times New Roman" w:eastAsia="Times New Roman" w:hAnsi="Times New Roman" w:cs="Times New Roman"/>
          <w:sz w:val="24"/>
          <w:szCs w:val="24"/>
        </w:rPr>
        <w:t xml:space="preserve">(vidi točku </w:t>
      </w:r>
      <w:r>
        <w:rPr>
          <w:rFonts w:ascii="Times New Roman" w:eastAsia="Times New Roman" w:hAnsi="Times New Roman" w:cs="Times New Roman"/>
          <w:sz w:val="24"/>
          <w:szCs w:val="24"/>
        </w:rPr>
        <w:t>5.4.</w:t>
      </w:r>
      <w:r w:rsidR="004B20CB">
        <w:rPr>
          <w:rFonts w:ascii="Times New Roman" w:eastAsia="Times New Roman" w:hAnsi="Times New Roman" w:cs="Times New Roman"/>
          <w:sz w:val="24"/>
          <w:szCs w:val="24"/>
        </w:rPr>
        <w:t>1</w:t>
      </w:r>
      <w:r w:rsidRPr="00F7436B">
        <w:rPr>
          <w:rFonts w:ascii="Times New Roman" w:eastAsia="Times New Roman" w:hAnsi="Times New Roman" w:cs="Times New Roman"/>
          <w:sz w:val="24"/>
          <w:szCs w:val="24"/>
        </w:rPr>
        <w:t xml:space="preserve"> Uputa za prijavitelje</w:t>
      </w:r>
      <w:r w:rsidRPr="00D32080">
        <w:rPr>
          <w:rFonts w:ascii="Times New Roman" w:eastAsia="Times New Roman" w:hAnsi="Times New Roman" w:cs="Times New Roman"/>
          <w:sz w:val="24"/>
          <w:szCs w:val="24"/>
        </w:rPr>
        <w:t>);</w:t>
      </w:r>
    </w:p>
    <w:p w:rsidR="009C13DA" w:rsidRPr="004D475E" w:rsidRDefault="009C13DA" w:rsidP="004B20CB">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D32080">
        <w:rPr>
          <w:rFonts w:ascii="Times New Roman" w:eastAsia="Times New Roman" w:hAnsi="Times New Roman" w:cs="Times New Roman"/>
          <w:sz w:val="24"/>
          <w:szCs w:val="24"/>
        </w:rPr>
        <w:t>da ću, zajedno sa svojim partnerom (ako je primjenjivo), u razdoblju od 7</w:t>
      </w:r>
      <w:r w:rsidRPr="00EF58D7">
        <w:rPr>
          <w:rFonts w:ascii="Times New Roman" w:eastAsia="Times New Roman" w:hAnsi="Times New Roman" w:cs="Times New Roman"/>
          <w:sz w:val="24"/>
          <w:szCs w:val="24"/>
        </w:rPr>
        <w:t xml:space="preserve"> godina od završnog plaćanja os</w:t>
      </w:r>
      <w:r w:rsidRPr="004D475E">
        <w:rPr>
          <w:rFonts w:ascii="Times New Roman" w:eastAsia="Times New Roman" w:hAnsi="Times New Roman" w:cs="Times New Roman"/>
          <w:sz w:val="24"/>
          <w:szCs w:val="24"/>
        </w:rPr>
        <w:t>igurati:</w:t>
      </w:r>
    </w:p>
    <w:p w:rsidR="009C13DA" w:rsidRPr="00EE429E" w:rsidRDefault="009C13DA" w:rsidP="004B20CB">
      <w:pPr>
        <w:pStyle w:val="ListParagraph"/>
        <w:numPr>
          <w:ilvl w:val="1"/>
          <w:numId w:val="40"/>
        </w:numPr>
        <w:tabs>
          <w:tab w:val="left" w:pos="851"/>
        </w:tabs>
        <w:spacing w:line="240" w:lineRule="auto"/>
        <w:jc w:val="both"/>
        <w:rPr>
          <w:rFonts w:ascii="Times New Roman" w:eastAsia="Times New Roman" w:hAnsi="Times New Roman" w:cs="Times New Roman"/>
          <w:sz w:val="24"/>
          <w:szCs w:val="24"/>
        </w:rPr>
      </w:pPr>
      <w:r w:rsidRPr="00EE429E">
        <w:rPr>
          <w:rFonts w:ascii="Times New Roman" w:eastAsia="Times New Roman" w:hAnsi="Times New Roman" w:cs="Times New Roman"/>
          <w:sz w:val="24"/>
          <w:szCs w:val="24"/>
        </w:rPr>
        <w:t>održavanje opreme i druge imovine nabavljene tijekom projekta, u skladu s uputama/preporukama proizvođača;</w:t>
      </w:r>
    </w:p>
    <w:p w:rsidR="009C13DA" w:rsidRPr="00EE429E" w:rsidRDefault="009C13DA" w:rsidP="004B20CB">
      <w:pPr>
        <w:pStyle w:val="ListParagraph"/>
        <w:numPr>
          <w:ilvl w:val="1"/>
          <w:numId w:val="40"/>
        </w:numPr>
        <w:tabs>
          <w:tab w:val="left" w:pos="851"/>
        </w:tabs>
        <w:spacing w:line="240" w:lineRule="auto"/>
        <w:jc w:val="both"/>
        <w:rPr>
          <w:rFonts w:ascii="Times New Roman" w:eastAsia="Times New Roman" w:hAnsi="Times New Roman" w:cs="Times New Roman"/>
          <w:sz w:val="24"/>
          <w:szCs w:val="24"/>
        </w:rPr>
      </w:pPr>
      <w:r w:rsidRPr="00EE429E">
        <w:rPr>
          <w:rFonts w:ascii="Times New Roman" w:eastAsia="Times New Roman" w:hAnsi="Times New Roman" w:cs="Times New Roman"/>
          <w:sz w:val="24"/>
          <w:szCs w:val="24"/>
        </w:rPr>
        <w:t xml:space="preserve">održivost aktivnosti i rezultata kako bi se osiguralo ostvarenje ciljanih pokazatelja utvrđenih u Uputama za prijavitelje, točki 1.3. Predmet, svrha i pokazatelji Ograničenog poziva; </w:t>
      </w:r>
    </w:p>
    <w:p w:rsidR="009C13DA" w:rsidRPr="00EE429E" w:rsidRDefault="009C13DA" w:rsidP="004B20CB">
      <w:pPr>
        <w:pStyle w:val="ListParagraph"/>
        <w:numPr>
          <w:ilvl w:val="1"/>
          <w:numId w:val="40"/>
        </w:numPr>
        <w:tabs>
          <w:tab w:val="left" w:pos="851"/>
        </w:tabs>
        <w:spacing w:line="240" w:lineRule="auto"/>
        <w:jc w:val="both"/>
        <w:rPr>
          <w:rFonts w:ascii="Times New Roman" w:eastAsia="Times New Roman" w:hAnsi="Times New Roman" w:cs="Times New Roman"/>
          <w:sz w:val="24"/>
          <w:szCs w:val="24"/>
        </w:rPr>
      </w:pPr>
      <w:r w:rsidRPr="00EE429E">
        <w:rPr>
          <w:rFonts w:ascii="Times New Roman" w:eastAsia="Times New Roman" w:hAnsi="Times New Roman" w:cs="Times New Roman"/>
          <w:sz w:val="24"/>
          <w:szCs w:val="24"/>
        </w:rPr>
        <w:t>da ne dođe do bitne izmjene projektnih rezultata uslijed promjene prirode vlasništva dijela infrastrukture ili prestanka proizvodne aktivnosti;</w:t>
      </w:r>
    </w:p>
    <w:p w:rsidR="009C13DA" w:rsidRPr="00EE429E" w:rsidRDefault="009C13DA" w:rsidP="004B20CB">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EE429E">
        <w:rPr>
          <w:rFonts w:ascii="Times New Roman" w:eastAsia="Times New Roman" w:hAnsi="Times New Roman" w:cs="Times New Roman"/>
          <w:sz w:val="24"/>
          <w:szCs w:val="24"/>
        </w:rPr>
        <w:t>Pored uvjeta koji se odnose na veleprodajne usluge potpisom ove izjave potvrđujem:</w:t>
      </w:r>
    </w:p>
    <w:p w:rsidR="009C13DA" w:rsidRPr="00CF51A2" w:rsidRDefault="009C13DA" w:rsidP="004B20CB">
      <w:pPr>
        <w:pStyle w:val="ListParagraph"/>
        <w:numPr>
          <w:ilvl w:val="1"/>
          <w:numId w:val="40"/>
        </w:numPr>
        <w:tabs>
          <w:tab w:val="left" w:pos="851"/>
        </w:tabs>
        <w:spacing w:line="240" w:lineRule="auto"/>
        <w:jc w:val="both"/>
        <w:rPr>
          <w:rFonts w:ascii="Times New Roman" w:eastAsia="Times New Roman" w:hAnsi="Times New Roman" w:cs="Times New Roman"/>
          <w:sz w:val="24"/>
          <w:szCs w:val="24"/>
        </w:rPr>
      </w:pPr>
      <w:r w:rsidRPr="004D475E">
        <w:rPr>
          <w:rFonts w:ascii="Times New Roman" w:eastAsia="Times New Roman" w:hAnsi="Times New Roman" w:cs="Times New Roman"/>
          <w:sz w:val="24"/>
          <w:szCs w:val="24"/>
        </w:rPr>
        <w:t>da ću s nositeljem tehničke provedbe NP-BBI programa</w:t>
      </w:r>
      <w:r w:rsidRPr="004B20CB">
        <w:footnoteReference w:id="5"/>
      </w:r>
      <w:r w:rsidRPr="00A56D55">
        <w:rPr>
          <w:rFonts w:ascii="Times New Roman" w:eastAsia="Times New Roman" w:hAnsi="Times New Roman" w:cs="Times New Roman"/>
          <w:sz w:val="24"/>
          <w:szCs w:val="24"/>
        </w:rPr>
        <w:t xml:space="preserve"> u fazi projektiranja i izgradnje infrastrukture usuglasiti uvjete, odgovornosti i točan položaj (</w:t>
      </w:r>
      <w:proofErr w:type="spellStart"/>
      <w:r w:rsidRPr="00A56D55">
        <w:rPr>
          <w:rFonts w:ascii="Times New Roman" w:eastAsia="Times New Roman" w:hAnsi="Times New Roman" w:cs="Times New Roman"/>
          <w:sz w:val="24"/>
          <w:szCs w:val="24"/>
        </w:rPr>
        <w:t>mikrolokaciju</w:t>
      </w:r>
      <w:proofErr w:type="spellEnd"/>
      <w:r w:rsidRPr="00A56D55">
        <w:rPr>
          <w:rFonts w:ascii="Times New Roman" w:eastAsia="Times New Roman" w:hAnsi="Times New Roman" w:cs="Times New Roman"/>
          <w:sz w:val="24"/>
          <w:szCs w:val="24"/>
        </w:rPr>
        <w:t xml:space="preserve">) demarkacijskih točaka te koordinirati izgradnju infrastrukture </w:t>
      </w:r>
      <w:r w:rsidRPr="00CF51A2">
        <w:rPr>
          <w:rFonts w:ascii="Times New Roman" w:eastAsia="Times New Roman" w:hAnsi="Times New Roman" w:cs="Times New Roman"/>
          <w:sz w:val="24"/>
          <w:szCs w:val="24"/>
        </w:rPr>
        <w:t>na trasama na kojima će se graditi NP-BBI infrastruktura;</w:t>
      </w:r>
    </w:p>
    <w:p w:rsidR="009C13DA" w:rsidRPr="00F7436B" w:rsidRDefault="009C13DA" w:rsidP="004B20CB">
      <w:pPr>
        <w:pStyle w:val="ListParagraph"/>
        <w:numPr>
          <w:ilvl w:val="1"/>
          <w:numId w:val="40"/>
        </w:numPr>
        <w:tabs>
          <w:tab w:val="left" w:pos="851"/>
        </w:tabs>
        <w:spacing w:line="240" w:lineRule="auto"/>
        <w:jc w:val="both"/>
        <w:rPr>
          <w:rFonts w:ascii="Times New Roman" w:eastAsia="Times New Roman" w:hAnsi="Times New Roman" w:cs="Times New Roman"/>
          <w:sz w:val="24"/>
          <w:szCs w:val="24"/>
        </w:rPr>
      </w:pPr>
      <w:r w:rsidRPr="00280B27">
        <w:rPr>
          <w:rFonts w:ascii="Times New Roman" w:eastAsia="Times New Roman" w:hAnsi="Times New Roman" w:cs="Times New Roman"/>
          <w:sz w:val="24"/>
          <w:szCs w:val="24"/>
        </w:rPr>
        <w:t>da ću</w:t>
      </w:r>
      <w:r w:rsidRPr="000E5199">
        <w:rPr>
          <w:rFonts w:ascii="Times New Roman" w:eastAsia="Times New Roman" w:hAnsi="Times New Roman" w:cs="Times New Roman"/>
          <w:sz w:val="24"/>
          <w:szCs w:val="24"/>
        </w:rPr>
        <w:t xml:space="preserve"> na</w:t>
      </w:r>
      <w:r w:rsidRPr="00F7436B">
        <w:rPr>
          <w:rFonts w:ascii="Times New Roman" w:eastAsia="Times New Roman" w:hAnsi="Times New Roman" w:cs="Times New Roman"/>
          <w:sz w:val="24"/>
          <w:szCs w:val="24"/>
        </w:rPr>
        <w:t xml:space="preserve"> svakoj demarkacijskoj točki trajno omogućiti pristup pasivnim dijelovima pristupne mreže (kabelskoj kanalizaciji, nadzemnoj mreži stupova, neosvijetljenim nitima, vanjskim kabinetima) izgrađene kroz ONP program u naselju u kojem se nalazi demarkacijska točka.</w:t>
      </w:r>
    </w:p>
    <w:p w:rsidR="009C13DA" w:rsidRDefault="009C13DA" w:rsidP="009C13DA">
      <w:pPr>
        <w:tabs>
          <w:tab w:val="left" w:pos="851"/>
        </w:tabs>
        <w:spacing w:after="120"/>
        <w:jc w:val="both"/>
        <w:rPr>
          <w:rFonts w:ascii="Times New Roman" w:eastAsia="Times New Roman" w:hAnsi="Times New Roman" w:cs="Times New Roman"/>
          <w:sz w:val="24"/>
          <w:szCs w:val="24"/>
        </w:rPr>
      </w:pPr>
    </w:p>
    <w:p w:rsidR="00C71EE3" w:rsidRDefault="00C71EE3" w:rsidP="009C13DA">
      <w:pPr>
        <w:tabs>
          <w:tab w:val="left" w:pos="851"/>
        </w:tabs>
        <w:spacing w:after="120"/>
        <w:jc w:val="both"/>
        <w:rPr>
          <w:rFonts w:ascii="Times New Roman" w:eastAsia="Times New Roman" w:hAnsi="Times New Roman" w:cs="Times New Roman"/>
          <w:sz w:val="24"/>
          <w:szCs w:val="24"/>
        </w:rPr>
      </w:pPr>
      <w:r w:rsidRPr="00C71EE3">
        <w:rPr>
          <w:rFonts w:ascii="Times New Roman" w:eastAsia="Times New Roman" w:hAnsi="Times New Roman" w:cs="Times New Roman"/>
          <w:b/>
          <w:sz w:val="24"/>
          <w:szCs w:val="24"/>
        </w:rPr>
        <w:t>Pod materijalnom i kaznenom odgovornošću</w:t>
      </w:r>
      <w:r w:rsidRPr="00C71EE3">
        <w:rPr>
          <w:rFonts w:ascii="Times New Roman" w:eastAsia="Times New Roman" w:hAnsi="Times New Roman" w:cs="Times New Roman"/>
          <w:sz w:val="24"/>
          <w:szCs w:val="24"/>
        </w:rPr>
        <w:t>, u svoje ime i u ime Prijavitelja potvrđujem navedene podatke:</w:t>
      </w:r>
    </w:p>
    <w:p w:rsidR="00C71EE3" w:rsidRPr="00C71EE3" w:rsidRDefault="00C71EE3" w:rsidP="00C71EE3">
      <w:pPr>
        <w:spacing w:after="160" w:line="259" w:lineRule="auto"/>
        <w:jc w:val="both"/>
        <w:rPr>
          <w:rFonts w:ascii="Times New Roman" w:eastAsia="Calibri" w:hAnsi="Times New Roman" w:cs="Times New Roman"/>
          <w:i/>
          <w:sz w:val="24"/>
          <w:szCs w:val="24"/>
          <w:highlight w:val="lightGray"/>
          <w:lang w:eastAsia="en-US"/>
        </w:rPr>
      </w:pPr>
      <w:r w:rsidRPr="00C71EE3">
        <w:rPr>
          <w:rFonts w:ascii="Times New Roman" w:eastAsia="Calibri" w:hAnsi="Times New Roman" w:cs="Times New Roman"/>
          <w:i/>
          <w:sz w:val="24"/>
          <w:szCs w:val="24"/>
          <w:highlight w:val="lightGray"/>
          <w:lang w:eastAsia="en-US"/>
        </w:rPr>
        <w:t>&lt;Popuniti u slučaju odabira investicijskog modela A&gt;</w:t>
      </w:r>
    </w:p>
    <w:p w:rsidR="00C71EE3" w:rsidRDefault="00C71EE3" w:rsidP="009C13DA">
      <w:pPr>
        <w:tabs>
          <w:tab w:val="left" w:pos="851"/>
        </w:tabs>
        <w:spacing w:after="120"/>
        <w:jc w:val="both"/>
        <w:rPr>
          <w:rFonts w:ascii="Times New Roman" w:eastAsia="Times New Roman" w:hAnsi="Times New Roman" w:cs="Times New Roman"/>
          <w:sz w:val="24"/>
          <w:szCs w:val="24"/>
        </w:rPr>
      </w:pPr>
    </w:p>
    <w:tbl>
      <w:tblPr>
        <w:tblStyle w:val="TableGrid11"/>
        <w:tblW w:w="0" w:type="auto"/>
        <w:shd w:val="clear" w:color="auto" w:fill="D0CECE"/>
        <w:tblLook w:val="04A0" w:firstRow="1" w:lastRow="0" w:firstColumn="1" w:lastColumn="0" w:noHBand="0" w:noVBand="1"/>
      </w:tblPr>
      <w:tblGrid>
        <w:gridCol w:w="4531"/>
        <w:gridCol w:w="4531"/>
      </w:tblGrid>
      <w:tr w:rsidR="00C71EE3" w:rsidRPr="00C71EE3" w:rsidTr="00A72CB5">
        <w:tc>
          <w:tcPr>
            <w:tcW w:w="4531" w:type="dxa"/>
            <w:shd w:val="clear" w:color="auto" w:fill="D0CECE"/>
          </w:tcPr>
          <w:p w:rsidR="00C71EE3" w:rsidRPr="00C71EE3" w:rsidRDefault="00C71EE3" w:rsidP="00D94C7E">
            <w:pPr>
              <w:spacing w:after="160" w:line="259" w:lineRule="auto"/>
              <w:jc w:val="both"/>
              <w:rPr>
                <w:rFonts w:ascii="Times New Roman" w:hAnsi="Times New Roman" w:cs="Times New Roman"/>
                <w:i/>
                <w:sz w:val="24"/>
                <w:szCs w:val="24"/>
              </w:rPr>
            </w:pPr>
            <w:r w:rsidRPr="00C71EE3">
              <w:rPr>
                <w:rFonts w:ascii="Times New Roman" w:hAnsi="Times New Roman" w:cs="Times New Roman"/>
                <w:i/>
                <w:sz w:val="24"/>
                <w:szCs w:val="24"/>
              </w:rPr>
              <w:t xml:space="preserve">Broj stanova u bijelim područjima kojima će se u okviru projekta omogućiti </w:t>
            </w:r>
            <w:r w:rsidR="00D94C7E">
              <w:rPr>
                <w:rFonts w:ascii="Times New Roman" w:hAnsi="Times New Roman" w:cs="Times New Roman"/>
                <w:i/>
                <w:sz w:val="24"/>
                <w:szCs w:val="24"/>
              </w:rPr>
              <w:t>VHCN pristup</w:t>
            </w:r>
            <w:r w:rsidRPr="00C71EE3">
              <w:rPr>
                <w:rFonts w:ascii="Times New Roman" w:hAnsi="Times New Roman" w:cs="Times New Roman"/>
                <w:i/>
                <w:sz w:val="24"/>
                <w:szCs w:val="24"/>
              </w:rPr>
              <w:t xml:space="preserve"> (upisati broj)</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tc>
      </w:tr>
      <w:tr w:rsidR="00C71EE3" w:rsidRPr="00C71EE3" w:rsidTr="00A72CB5">
        <w:tc>
          <w:tcPr>
            <w:tcW w:w="4531" w:type="dxa"/>
            <w:shd w:val="clear" w:color="auto" w:fill="D0CECE"/>
          </w:tcPr>
          <w:p w:rsidR="00C71EE3" w:rsidRPr="00C71EE3" w:rsidRDefault="00C71EE3" w:rsidP="00D94C7E">
            <w:pPr>
              <w:spacing w:after="160" w:line="259" w:lineRule="auto"/>
              <w:jc w:val="both"/>
              <w:rPr>
                <w:rFonts w:ascii="Times New Roman" w:hAnsi="Times New Roman" w:cs="Times New Roman"/>
                <w:i/>
                <w:sz w:val="24"/>
                <w:szCs w:val="24"/>
              </w:rPr>
            </w:pPr>
            <w:r w:rsidRPr="00C71EE3">
              <w:rPr>
                <w:rFonts w:ascii="Times New Roman" w:hAnsi="Times New Roman" w:cs="Times New Roman"/>
                <w:i/>
                <w:sz w:val="24"/>
                <w:szCs w:val="24"/>
              </w:rPr>
              <w:t xml:space="preserve">Ukupan udio poslovnih i javnih korisnika u bijelim područjima, a kojima će se u okviru projekta omogućiti </w:t>
            </w:r>
            <w:proofErr w:type="spellStart"/>
            <w:r w:rsidRPr="00C71EE3">
              <w:rPr>
                <w:rFonts w:ascii="Times New Roman" w:hAnsi="Times New Roman" w:cs="Times New Roman"/>
                <w:i/>
                <w:sz w:val="24"/>
                <w:szCs w:val="24"/>
              </w:rPr>
              <w:t>ultrabrzi</w:t>
            </w:r>
            <w:proofErr w:type="spellEnd"/>
            <w:r w:rsidRPr="00C71EE3">
              <w:rPr>
                <w:rFonts w:ascii="Times New Roman" w:hAnsi="Times New Roman" w:cs="Times New Roman"/>
                <w:i/>
                <w:sz w:val="24"/>
                <w:szCs w:val="24"/>
              </w:rPr>
              <w:t xml:space="preserve"> pristup od najmanje 1 </w:t>
            </w:r>
            <w:proofErr w:type="spellStart"/>
            <w:r w:rsidR="00D94C7E">
              <w:rPr>
                <w:rFonts w:ascii="Times New Roman" w:hAnsi="Times New Roman" w:cs="Times New Roman"/>
                <w:i/>
                <w:sz w:val="24"/>
                <w:szCs w:val="24"/>
              </w:rPr>
              <w:t>G</w:t>
            </w:r>
            <w:r w:rsidRPr="00C71EE3">
              <w:rPr>
                <w:rFonts w:ascii="Times New Roman" w:hAnsi="Times New Roman" w:cs="Times New Roman"/>
                <w:i/>
                <w:sz w:val="24"/>
                <w:szCs w:val="24"/>
              </w:rPr>
              <w:t>bit</w:t>
            </w:r>
            <w:proofErr w:type="spellEnd"/>
            <w:r w:rsidRPr="00C71EE3">
              <w:rPr>
                <w:rFonts w:ascii="Times New Roman" w:hAnsi="Times New Roman" w:cs="Times New Roman"/>
                <w:i/>
                <w:sz w:val="24"/>
                <w:szCs w:val="24"/>
              </w:rPr>
              <w:t xml:space="preserve">/s </w:t>
            </w:r>
            <w:r w:rsidR="00387B0A">
              <w:rPr>
                <w:rFonts w:ascii="Times New Roman" w:hAnsi="Times New Roman" w:cs="Times New Roman"/>
                <w:i/>
                <w:sz w:val="24"/>
                <w:szCs w:val="24"/>
              </w:rPr>
              <w:t xml:space="preserve">simetrično </w:t>
            </w:r>
            <w:r w:rsidRPr="00C71EE3">
              <w:rPr>
                <w:rFonts w:ascii="Times New Roman" w:hAnsi="Times New Roman" w:cs="Times New Roman"/>
                <w:i/>
                <w:sz w:val="24"/>
                <w:szCs w:val="24"/>
              </w:rPr>
              <w:t>(upisati postotni udio zaokružen na dva decimalna mjesta)</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p w:rsidR="00C71EE3" w:rsidRPr="00C71EE3" w:rsidRDefault="00C71EE3" w:rsidP="00C71EE3">
            <w:pPr>
              <w:rPr>
                <w:rFonts w:ascii="Times New Roman" w:hAnsi="Times New Roman" w:cs="Times New Roman"/>
                <w:sz w:val="24"/>
                <w:szCs w:val="24"/>
              </w:rPr>
            </w:pPr>
          </w:p>
          <w:p w:rsidR="00C71EE3" w:rsidRPr="00C71EE3" w:rsidRDefault="00C71EE3" w:rsidP="00C71EE3">
            <w:pPr>
              <w:rPr>
                <w:rFonts w:ascii="Times New Roman" w:hAnsi="Times New Roman" w:cs="Times New Roman"/>
                <w:sz w:val="24"/>
                <w:szCs w:val="24"/>
              </w:rPr>
            </w:pPr>
          </w:p>
        </w:tc>
      </w:tr>
    </w:tbl>
    <w:tbl>
      <w:tblPr>
        <w:tblStyle w:val="TableGrid2"/>
        <w:tblW w:w="9072" w:type="dxa"/>
        <w:tblBorders>
          <w:top w:val="none" w:sz="0" w:space="0" w:color="auto"/>
          <w:left w:val="none" w:sz="0" w:space="0" w:color="auto"/>
          <w:bottom w:val="none" w:sz="0" w:space="0" w:color="auto"/>
          <w:right w:val="none" w:sz="0" w:space="0" w:color="auto"/>
        </w:tblBorders>
        <w:shd w:val="clear" w:color="auto" w:fill="D9D9D9" w:themeFill="background1" w:themeFillShade="D9"/>
        <w:tblLayout w:type="fixed"/>
        <w:tblLook w:val="04A0" w:firstRow="1" w:lastRow="0" w:firstColumn="1" w:lastColumn="0" w:noHBand="0" w:noVBand="1"/>
      </w:tblPr>
      <w:tblGrid>
        <w:gridCol w:w="1814"/>
        <w:gridCol w:w="1730"/>
        <w:gridCol w:w="1899"/>
        <w:gridCol w:w="1814"/>
        <w:gridCol w:w="1815"/>
      </w:tblGrid>
      <w:tr w:rsidR="00AA1C6C" w:rsidRPr="00096D99" w:rsidTr="006A3726">
        <w:tc>
          <w:tcPr>
            <w:tcW w:w="1814" w:type="dxa"/>
            <w:tcBorders>
              <w:top w:val="single" w:sz="4" w:space="0" w:color="auto"/>
              <w:left w:val="single" w:sz="4" w:space="0" w:color="auto"/>
              <w:bottom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bookmarkStart w:id="4" w:name="_Hlk3385754"/>
            <w:r w:rsidRPr="00096D99">
              <w:rPr>
                <w:i/>
                <w:sz w:val="24"/>
                <w:szCs w:val="24"/>
                <w:lang w:val="hr-HR"/>
              </w:rPr>
              <w:lastRenderedPageBreak/>
              <w:t>Jedinica lokalne samouprave</w:t>
            </w:r>
          </w:p>
        </w:tc>
        <w:tc>
          <w:tcPr>
            <w:tcW w:w="1730" w:type="dxa"/>
            <w:tcBorders>
              <w:top w:val="single" w:sz="4" w:space="0" w:color="auto"/>
              <w:bottom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r w:rsidRPr="00096D99">
              <w:rPr>
                <w:i/>
                <w:sz w:val="24"/>
                <w:szCs w:val="24"/>
                <w:lang w:val="hr-HR"/>
              </w:rPr>
              <w:t>Otok/brdsko-planinsko područje</w:t>
            </w:r>
            <w:bookmarkStart w:id="5" w:name="_Ref3387164"/>
            <w:r w:rsidRPr="00534620">
              <w:rPr>
                <w:i/>
                <w:sz w:val="24"/>
                <w:szCs w:val="24"/>
                <w:vertAlign w:val="superscript"/>
                <w:lang w:val="hr-HR"/>
              </w:rPr>
              <w:footnoteReference w:id="6"/>
            </w:r>
            <w:bookmarkEnd w:id="5"/>
          </w:p>
        </w:tc>
        <w:tc>
          <w:tcPr>
            <w:tcW w:w="1899" w:type="dxa"/>
            <w:tcBorders>
              <w:top w:val="single" w:sz="4" w:space="0" w:color="auto"/>
              <w:bottom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r w:rsidRPr="00096D99">
              <w:rPr>
                <w:i/>
                <w:sz w:val="24"/>
                <w:szCs w:val="24"/>
                <w:lang w:val="hr-HR"/>
              </w:rPr>
              <w:t>Vrsta korisnika</w:t>
            </w:r>
            <w:bookmarkStart w:id="6" w:name="_Ref3387171"/>
            <w:r w:rsidRPr="00534620">
              <w:rPr>
                <w:i/>
                <w:sz w:val="24"/>
                <w:szCs w:val="24"/>
                <w:vertAlign w:val="superscript"/>
                <w:lang w:val="hr-HR"/>
              </w:rPr>
              <w:footnoteReference w:id="7"/>
            </w:r>
            <w:bookmarkEnd w:id="6"/>
          </w:p>
        </w:tc>
        <w:tc>
          <w:tcPr>
            <w:tcW w:w="1814" w:type="dxa"/>
            <w:tcBorders>
              <w:top w:val="single" w:sz="4" w:space="0" w:color="auto"/>
              <w:bottom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r w:rsidRPr="00AA1C6C">
              <w:rPr>
                <w:i/>
                <w:sz w:val="24"/>
                <w:szCs w:val="24"/>
                <w:lang w:val="hr-HR"/>
              </w:rPr>
              <w:t xml:space="preserve">Broj korisnika kojima će se omogućiti pristup širokopojasnoj infrastrukturi s brzinom preuzimanja od najmanje 100 </w:t>
            </w:r>
            <w:proofErr w:type="spellStart"/>
            <w:r w:rsidRPr="00AA1C6C">
              <w:rPr>
                <w:i/>
                <w:sz w:val="24"/>
                <w:szCs w:val="24"/>
                <w:lang w:val="hr-HR"/>
              </w:rPr>
              <w:t>Mbit</w:t>
            </w:r>
            <w:proofErr w:type="spellEnd"/>
            <w:r w:rsidRPr="00AA1C6C">
              <w:rPr>
                <w:i/>
                <w:sz w:val="24"/>
                <w:szCs w:val="24"/>
                <w:lang w:val="hr-HR"/>
              </w:rPr>
              <w:t xml:space="preserve">/s (s mogućnošću nadogradnje na 1 </w:t>
            </w:r>
            <w:proofErr w:type="spellStart"/>
            <w:r w:rsidRPr="00AA1C6C">
              <w:rPr>
                <w:i/>
                <w:sz w:val="24"/>
                <w:szCs w:val="24"/>
                <w:lang w:val="hr-HR"/>
              </w:rPr>
              <w:t>Gbit</w:t>
            </w:r>
            <w:proofErr w:type="spellEnd"/>
            <w:r w:rsidRPr="00AA1C6C">
              <w:rPr>
                <w:i/>
                <w:sz w:val="24"/>
                <w:szCs w:val="24"/>
                <w:lang w:val="hr-HR"/>
              </w:rPr>
              <w:t>/s) u smjeru korisnika</w:t>
            </w: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AA1C6C">
            <w:pPr>
              <w:spacing w:after="160" w:line="259" w:lineRule="auto"/>
              <w:jc w:val="center"/>
              <w:rPr>
                <w:i/>
                <w:sz w:val="24"/>
                <w:szCs w:val="24"/>
                <w:lang w:val="hr-HR"/>
              </w:rPr>
            </w:pPr>
            <w:r w:rsidRPr="00096D99">
              <w:rPr>
                <w:i/>
                <w:sz w:val="24"/>
                <w:szCs w:val="24"/>
                <w:lang w:val="hr-HR"/>
              </w:rPr>
              <w:t xml:space="preserve">Broj korisnika kojima će se omogućiti pristup širokopojasnoj infrastrukturi s najmanje 1 </w:t>
            </w:r>
            <w:proofErr w:type="spellStart"/>
            <w:r>
              <w:rPr>
                <w:i/>
                <w:sz w:val="24"/>
                <w:szCs w:val="24"/>
                <w:lang w:val="hr-HR"/>
              </w:rPr>
              <w:t>G</w:t>
            </w:r>
            <w:r w:rsidRPr="00096D99">
              <w:rPr>
                <w:i/>
                <w:sz w:val="24"/>
                <w:szCs w:val="24"/>
                <w:lang w:val="hr-HR"/>
              </w:rPr>
              <w:t>bit</w:t>
            </w:r>
            <w:proofErr w:type="spellEnd"/>
            <w:r w:rsidRPr="00096D99">
              <w:rPr>
                <w:i/>
                <w:sz w:val="24"/>
                <w:szCs w:val="24"/>
                <w:lang w:val="hr-HR"/>
              </w:rPr>
              <w:t>/s simetrično</w:t>
            </w:r>
          </w:p>
        </w:tc>
      </w:tr>
      <w:tr w:rsidR="00AA1C6C" w:rsidRPr="00096D99" w:rsidTr="006A3726">
        <w:tc>
          <w:tcPr>
            <w:tcW w:w="1814" w:type="dxa"/>
            <w:vMerge w:val="restart"/>
            <w:tcBorders>
              <w:top w:val="single" w:sz="4" w:space="0" w:color="auto"/>
              <w:left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bookmarkStart w:id="7" w:name="_Hlk2330143"/>
            <w:r w:rsidRPr="00096D99">
              <w:rPr>
                <w:i/>
                <w:sz w:val="24"/>
                <w:szCs w:val="24"/>
                <w:lang w:val="hr-HR"/>
              </w:rPr>
              <w:t>&lt;umetnuti naziv jedinice lokalne samouprave na čijem se području provodi projekt&gt;</w:t>
            </w:r>
          </w:p>
        </w:tc>
        <w:tc>
          <w:tcPr>
            <w:tcW w:w="1730" w:type="dxa"/>
            <w:vMerge w:val="restart"/>
            <w:tcBorders>
              <w:top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Stanovi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AA1C6C">
            <w:pPr>
              <w:numPr>
                <w:ilvl w:val="0"/>
                <w:numId w:val="41"/>
              </w:numPr>
              <w:spacing w:after="160" w:line="259" w:lineRule="auto"/>
              <w:contextualSpacing/>
              <w:jc w:val="both"/>
              <w:rPr>
                <w:i/>
                <w:sz w:val="24"/>
                <w:szCs w:val="24"/>
                <w:lang w:val="hr-HR"/>
              </w:rPr>
            </w:pPr>
            <w:r w:rsidRPr="00096D99">
              <w:rPr>
                <w:i/>
                <w:sz w:val="24"/>
                <w:szCs w:val="24"/>
                <w:lang w:val="hr-HR"/>
              </w:rPr>
              <w:t>od toga kućanstva</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Javni korisnici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Poslovni korisnici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vAlign w:val="center"/>
          </w:tcPr>
          <w:p w:rsidR="00AA1C6C" w:rsidRPr="00096D99" w:rsidRDefault="00AA1C6C" w:rsidP="006A3726">
            <w:pPr>
              <w:spacing w:after="160" w:line="259" w:lineRule="auto"/>
              <w:jc w:val="both"/>
              <w:rPr>
                <w:i/>
                <w:sz w:val="24"/>
                <w:szCs w:val="24"/>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Ukupno krajnjih korisnika na području JLS-a</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15" w:type="dxa"/>
            <w:vMerge w:val="restart"/>
            <w:tcBorders>
              <w:top w:val="single" w:sz="4" w:space="0" w:color="auto"/>
              <w:right w:val="single" w:sz="4" w:space="0" w:color="auto"/>
              <w:tr2bl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r>
      <w:tr w:rsidR="00AA1C6C" w:rsidRPr="00096D99" w:rsidTr="006A3726">
        <w:tc>
          <w:tcPr>
            <w:tcW w:w="1814" w:type="dxa"/>
            <w:vMerge/>
            <w:tcBorders>
              <w:left w:val="single" w:sz="4" w:space="0" w:color="auto"/>
              <w:bottom w:val="single" w:sz="4" w:space="0" w:color="auto"/>
            </w:tcBorders>
            <w:shd w:val="clear" w:color="auto" w:fill="D9D9D9" w:themeFill="background1" w:themeFillShade="D9"/>
            <w:vAlign w:val="center"/>
          </w:tcPr>
          <w:p w:rsidR="00AA1C6C" w:rsidRPr="00096D99" w:rsidRDefault="00AA1C6C" w:rsidP="006A3726">
            <w:pPr>
              <w:spacing w:after="160" w:line="259" w:lineRule="auto"/>
              <w:jc w:val="both"/>
              <w:rPr>
                <w:i/>
                <w:sz w:val="24"/>
                <w:szCs w:val="24"/>
              </w:rPr>
            </w:pPr>
          </w:p>
        </w:tc>
        <w:tc>
          <w:tcPr>
            <w:tcW w:w="1730" w:type="dxa"/>
            <w:vMerge/>
            <w:tcBorders>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AA1C6C" w:rsidRPr="00BC5BB9" w:rsidRDefault="00AA1C6C" w:rsidP="006A3726">
            <w:pPr>
              <w:spacing w:after="160" w:line="259" w:lineRule="auto"/>
              <w:jc w:val="both"/>
              <w:rPr>
                <w:i/>
                <w:sz w:val="24"/>
                <w:szCs w:val="24"/>
                <w:lang w:val="hr-HR"/>
              </w:rPr>
            </w:pPr>
            <w:r w:rsidRPr="00BC5BB9">
              <w:rPr>
                <w:i/>
                <w:sz w:val="24"/>
                <w:szCs w:val="24"/>
                <w:lang w:val="hr-HR"/>
              </w:rPr>
              <w:t>Razvrstanost JLS-a skupini prema indeksu razvijenosti</w:t>
            </w:r>
            <w:r w:rsidRPr="00BC5BB9">
              <w:rPr>
                <w:i/>
                <w:sz w:val="24"/>
                <w:szCs w:val="24"/>
                <w:vertAlign w:val="superscript"/>
              </w:rPr>
              <w:fldChar w:fldCharType="begin"/>
            </w:r>
            <w:r w:rsidRPr="00BC5BB9">
              <w:rPr>
                <w:i/>
                <w:sz w:val="24"/>
                <w:szCs w:val="24"/>
                <w:vertAlign w:val="superscript"/>
                <w:lang w:val="hr-HR"/>
              </w:rPr>
              <w:instrText xml:space="preserve"> NOTEREF _Ref3386826 \h </w:instrText>
            </w:r>
            <w:r>
              <w:rPr>
                <w:i/>
                <w:sz w:val="24"/>
                <w:szCs w:val="24"/>
                <w:vertAlign w:val="superscript"/>
                <w:lang w:val="hr-HR"/>
              </w:rPr>
              <w:instrText xml:space="preserve"> \* MERGEFORMAT </w:instrText>
            </w:r>
            <w:r w:rsidRPr="00BC5BB9">
              <w:rPr>
                <w:i/>
                <w:sz w:val="24"/>
                <w:szCs w:val="24"/>
                <w:vertAlign w:val="superscript"/>
              </w:rPr>
            </w:r>
            <w:r w:rsidRPr="00BC5BB9">
              <w:rPr>
                <w:i/>
                <w:sz w:val="24"/>
                <w:szCs w:val="24"/>
                <w:vertAlign w:val="superscript"/>
              </w:rPr>
              <w:fldChar w:fldCharType="separate"/>
            </w:r>
            <w:r w:rsidRPr="00BC5BB9">
              <w:rPr>
                <w:i/>
                <w:sz w:val="24"/>
                <w:szCs w:val="24"/>
                <w:vertAlign w:val="superscript"/>
                <w:lang w:val="hr-HR"/>
              </w:rPr>
              <w:t>8</w:t>
            </w:r>
            <w:r w:rsidRPr="00BC5BB9">
              <w:rPr>
                <w:i/>
                <w:sz w:val="24"/>
                <w:szCs w:val="24"/>
                <w:vertAlign w:val="superscript"/>
              </w:rPr>
              <w:fldChar w:fldCharType="end"/>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15" w:type="dxa"/>
            <w:vMerge/>
            <w:tcBorders>
              <w:bottom w:val="single" w:sz="4" w:space="0" w:color="auto"/>
              <w:right w:val="single" w:sz="4" w:space="0" w:color="auto"/>
              <w:tr2bl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r>
      <w:bookmarkEnd w:id="7"/>
      <w:tr w:rsidR="00AA1C6C" w:rsidRPr="00096D99" w:rsidTr="006A3726">
        <w:tc>
          <w:tcPr>
            <w:tcW w:w="1814" w:type="dxa"/>
            <w:vMerge w:val="restart"/>
            <w:tcBorders>
              <w:top w:val="single" w:sz="4" w:space="0" w:color="auto"/>
              <w:left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r w:rsidRPr="00096D99">
              <w:rPr>
                <w:i/>
                <w:sz w:val="24"/>
                <w:szCs w:val="24"/>
                <w:lang w:val="hr-HR"/>
              </w:rPr>
              <w:t>&lt;umetnuti naziv jedinice lokalne samouprave na čijem se području provodi projekt&gt;</w:t>
            </w:r>
          </w:p>
        </w:tc>
        <w:tc>
          <w:tcPr>
            <w:tcW w:w="1730" w:type="dxa"/>
            <w:vMerge w:val="restart"/>
            <w:tcBorders>
              <w:top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Stanovi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AA1C6C">
            <w:pPr>
              <w:numPr>
                <w:ilvl w:val="0"/>
                <w:numId w:val="41"/>
              </w:numPr>
              <w:spacing w:after="160" w:line="259" w:lineRule="auto"/>
              <w:contextualSpacing/>
              <w:jc w:val="both"/>
              <w:rPr>
                <w:i/>
                <w:sz w:val="24"/>
                <w:szCs w:val="24"/>
                <w:lang w:val="hr-HR"/>
              </w:rPr>
            </w:pPr>
            <w:r w:rsidRPr="00096D99">
              <w:rPr>
                <w:i/>
                <w:sz w:val="24"/>
                <w:szCs w:val="24"/>
                <w:lang w:val="hr-HR"/>
              </w:rPr>
              <w:t>od toga kućanstva</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Javni korisnici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Poslovni korisnici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Ukupno krajnjih korisnika na području JLS-a</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15" w:type="dxa"/>
            <w:vMerge w:val="restart"/>
            <w:tcBorders>
              <w:top w:val="single" w:sz="4" w:space="0" w:color="auto"/>
              <w:right w:val="single" w:sz="4" w:space="0" w:color="auto"/>
              <w:tr2bl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r>
      <w:tr w:rsidR="00AA1C6C" w:rsidRPr="00096D99" w:rsidTr="006A3726">
        <w:tc>
          <w:tcPr>
            <w:tcW w:w="1814" w:type="dxa"/>
            <w:vMerge/>
            <w:tcBorders>
              <w:left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730" w:type="dxa"/>
            <w:vMerge/>
            <w:tcBorders>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AA1C6C" w:rsidRPr="00BC5BB9" w:rsidRDefault="00AA1C6C" w:rsidP="006A3726">
            <w:pPr>
              <w:spacing w:after="160" w:line="259" w:lineRule="auto"/>
              <w:jc w:val="both"/>
              <w:rPr>
                <w:i/>
                <w:sz w:val="24"/>
                <w:szCs w:val="24"/>
                <w:lang w:val="hr-HR"/>
              </w:rPr>
            </w:pPr>
            <w:r w:rsidRPr="00BC5BB9">
              <w:rPr>
                <w:i/>
                <w:sz w:val="24"/>
                <w:szCs w:val="24"/>
                <w:lang w:val="hr-HR"/>
              </w:rPr>
              <w:t xml:space="preserve">Razvrstanost JLS-a skupini </w:t>
            </w:r>
            <w:r w:rsidRPr="00BC5BB9">
              <w:rPr>
                <w:i/>
                <w:sz w:val="24"/>
                <w:szCs w:val="24"/>
                <w:lang w:val="hr-HR"/>
              </w:rPr>
              <w:lastRenderedPageBreak/>
              <w:t>prema indeksu razvijenosti</w:t>
            </w:r>
            <w:bookmarkStart w:id="8" w:name="_Ref3386826"/>
            <w:r w:rsidRPr="00BC5BB9">
              <w:rPr>
                <w:rStyle w:val="FootnoteReference"/>
                <w:i/>
                <w:sz w:val="24"/>
                <w:szCs w:val="24"/>
                <w:lang w:val="hr-HR"/>
              </w:rPr>
              <w:footnoteReference w:id="8"/>
            </w:r>
            <w:bookmarkEnd w:id="8"/>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15" w:type="dxa"/>
            <w:vMerge/>
            <w:tcBorders>
              <w:bottom w:val="single" w:sz="4" w:space="0" w:color="auto"/>
              <w:right w:val="single" w:sz="4" w:space="0" w:color="auto"/>
              <w:tr2bl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r>
      <w:tr w:rsidR="00AA1C6C" w:rsidRPr="00096D99" w:rsidTr="006A3726">
        <w:tc>
          <w:tcPr>
            <w:tcW w:w="1814" w:type="dxa"/>
            <w:tcBorders>
              <w:top w:val="single" w:sz="4" w:space="0" w:color="auto"/>
              <w:left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b/>
                <w:i/>
                <w:sz w:val="24"/>
                <w:szCs w:val="24"/>
                <w:lang w:val="hr-HR"/>
              </w:rPr>
            </w:pPr>
            <w:r w:rsidRPr="00096D99">
              <w:rPr>
                <w:b/>
                <w:i/>
                <w:sz w:val="24"/>
                <w:szCs w:val="24"/>
                <w:lang w:val="hr-HR"/>
              </w:rPr>
              <w:t>UKUPNO</w:t>
            </w:r>
          </w:p>
        </w:tc>
        <w:tc>
          <w:tcPr>
            <w:tcW w:w="1730"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bookmarkEnd w:id="4"/>
    </w:tbl>
    <w:p w:rsidR="00C71EE3" w:rsidRDefault="00C71EE3" w:rsidP="009C13DA">
      <w:pPr>
        <w:tabs>
          <w:tab w:val="left" w:pos="851"/>
        </w:tabs>
        <w:spacing w:after="120"/>
        <w:jc w:val="both"/>
        <w:rPr>
          <w:rFonts w:ascii="Times New Roman" w:eastAsia="Times New Roman" w:hAnsi="Times New Roman" w:cs="Times New Roman"/>
          <w:sz w:val="24"/>
          <w:szCs w:val="24"/>
        </w:rPr>
      </w:pPr>
    </w:p>
    <w:p w:rsidR="00C71EE3" w:rsidRPr="00C71EE3" w:rsidRDefault="00C71EE3" w:rsidP="00C71EE3">
      <w:pPr>
        <w:spacing w:after="160" w:line="259" w:lineRule="auto"/>
        <w:jc w:val="both"/>
        <w:rPr>
          <w:rFonts w:ascii="Times New Roman" w:eastAsia="Calibri" w:hAnsi="Times New Roman" w:cs="Times New Roman"/>
          <w:i/>
          <w:sz w:val="24"/>
          <w:szCs w:val="24"/>
          <w:lang w:eastAsia="en-US"/>
        </w:rPr>
      </w:pPr>
      <w:r w:rsidRPr="00C71EE3">
        <w:rPr>
          <w:rFonts w:ascii="Times New Roman" w:eastAsia="Calibri" w:hAnsi="Times New Roman" w:cs="Times New Roman"/>
          <w:i/>
          <w:sz w:val="24"/>
          <w:szCs w:val="24"/>
          <w:highlight w:val="lightGray"/>
          <w:lang w:eastAsia="en-US"/>
        </w:rPr>
        <w:t>&lt;Popuniti u slučaju odabira investicijskog modela B&gt;</w:t>
      </w:r>
    </w:p>
    <w:tbl>
      <w:tblPr>
        <w:tblStyle w:val="TableGrid12"/>
        <w:tblW w:w="0" w:type="auto"/>
        <w:shd w:val="clear" w:color="auto" w:fill="D0CECE"/>
        <w:tblLook w:val="04A0" w:firstRow="1" w:lastRow="0" w:firstColumn="1" w:lastColumn="0" w:noHBand="0" w:noVBand="1"/>
      </w:tblPr>
      <w:tblGrid>
        <w:gridCol w:w="4531"/>
        <w:gridCol w:w="4531"/>
      </w:tblGrid>
      <w:tr w:rsidR="00C71EE3" w:rsidRPr="00C71EE3" w:rsidTr="00A72CB5">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r w:rsidRPr="00C71EE3">
              <w:rPr>
                <w:rFonts w:ascii="Times New Roman" w:hAnsi="Times New Roman" w:cs="Times New Roman"/>
                <w:i/>
                <w:sz w:val="24"/>
                <w:szCs w:val="24"/>
              </w:rPr>
              <w:t>Model upravljanja NGA širokopojasnom mrežom izgrađenom u okviru projekta (upisati: isključivo veleprodajni poslovni model / ostali poslovni modeli)</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tc>
      </w:tr>
      <w:tr w:rsidR="00C71EE3" w:rsidRPr="00C71EE3" w:rsidTr="00A72CB5">
        <w:tc>
          <w:tcPr>
            <w:tcW w:w="4531" w:type="dxa"/>
            <w:shd w:val="clear" w:color="auto" w:fill="D0CECE"/>
          </w:tcPr>
          <w:p w:rsidR="00C71EE3" w:rsidRPr="00C71EE3" w:rsidRDefault="008C14F8" w:rsidP="00C71EE3">
            <w:pPr>
              <w:spacing w:after="160" w:line="259" w:lineRule="auto"/>
              <w:jc w:val="both"/>
              <w:rPr>
                <w:rFonts w:ascii="Times New Roman" w:hAnsi="Times New Roman" w:cs="Times New Roman"/>
                <w:i/>
                <w:sz w:val="24"/>
                <w:szCs w:val="24"/>
              </w:rPr>
            </w:pPr>
            <w:r w:rsidRPr="008C14F8">
              <w:rPr>
                <w:rFonts w:ascii="Times New Roman" w:hAnsi="Times New Roman" w:cs="Times New Roman"/>
                <w:i/>
                <w:sz w:val="24"/>
                <w:szCs w:val="24"/>
              </w:rPr>
              <w:t>Broj stanova u bijelim područjima kojima će se u okviru projekta omogućiti VHCN pristup (upisati broj)</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tc>
      </w:tr>
      <w:tr w:rsidR="00C71EE3" w:rsidRPr="00C71EE3" w:rsidTr="00A72CB5">
        <w:tc>
          <w:tcPr>
            <w:tcW w:w="4531" w:type="dxa"/>
            <w:shd w:val="clear" w:color="auto" w:fill="D0CECE"/>
          </w:tcPr>
          <w:p w:rsidR="00C71EE3" w:rsidRPr="00C71EE3" w:rsidRDefault="00C71EE3" w:rsidP="00EC368A">
            <w:pPr>
              <w:spacing w:after="160" w:line="259" w:lineRule="auto"/>
              <w:jc w:val="both"/>
              <w:rPr>
                <w:rFonts w:ascii="Times New Roman" w:hAnsi="Times New Roman" w:cs="Times New Roman"/>
                <w:i/>
                <w:sz w:val="24"/>
                <w:szCs w:val="24"/>
              </w:rPr>
            </w:pPr>
            <w:r w:rsidRPr="00AE00CC">
              <w:rPr>
                <w:rFonts w:ascii="Times New Roman" w:hAnsi="Times New Roman" w:cs="Times New Roman"/>
                <w:i/>
                <w:sz w:val="24"/>
                <w:szCs w:val="24"/>
              </w:rPr>
              <w:t xml:space="preserve">Ukupan udio stanova u bijelim područjima, a kojima će se u okviru projekta omogućiti </w:t>
            </w:r>
            <w:proofErr w:type="spellStart"/>
            <w:r w:rsidRPr="00AE00CC">
              <w:rPr>
                <w:rFonts w:ascii="Times New Roman" w:hAnsi="Times New Roman" w:cs="Times New Roman"/>
                <w:i/>
                <w:sz w:val="24"/>
                <w:szCs w:val="24"/>
              </w:rPr>
              <w:t>ultrabrzi</w:t>
            </w:r>
            <w:proofErr w:type="spellEnd"/>
            <w:r w:rsidRPr="00AE00CC">
              <w:rPr>
                <w:rFonts w:ascii="Times New Roman" w:hAnsi="Times New Roman" w:cs="Times New Roman"/>
                <w:i/>
                <w:sz w:val="24"/>
                <w:szCs w:val="24"/>
              </w:rPr>
              <w:t xml:space="preserve"> pristup od najmanje 1</w:t>
            </w:r>
            <w:r w:rsidR="00EC368A" w:rsidRPr="00AE00CC">
              <w:rPr>
                <w:rFonts w:ascii="Times New Roman" w:hAnsi="Times New Roman" w:cs="Times New Roman"/>
                <w:i/>
                <w:sz w:val="24"/>
                <w:szCs w:val="24"/>
              </w:rPr>
              <w:t>00</w:t>
            </w:r>
            <w:r w:rsidRPr="00AE00CC">
              <w:rPr>
                <w:rFonts w:ascii="Times New Roman" w:hAnsi="Times New Roman" w:cs="Times New Roman"/>
                <w:i/>
                <w:sz w:val="24"/>
                <w:szCs w:val="24"/>
              </w:rPr>
              <w:t xml:space="preserve"> </w:t>
            </w:r>
            <w:proofErr w:type="spellStart"/>
            <w:r w:rsidR="00EC368A" w:rsidRPr="00AE00CC">
              <w:rPr>
                <w:rFonts w:ascii="Times New Roman" w:hAnsi="Times New Roman" w:cs="Times New Roman"/>
                <w:i/>
                <w:sz w:val="24"/>
                <w:szCs w:val="24"/>
              </w:rPr>
              <w:t>Mb</w:t>
            </w:r>
            <w:r w:rsidRPr="00AE00CC">
              <w:rPr>
                <w:rFonts w:ascii="Times New Roman" w:hAnsi="Times New Roman" w:cs="Times New Roman"/>
                <w:i/>
                <w:sz w:val="24"/>
                <w:szCs w:val="24"/>
              </w:rPr>
              <w:t>it</w:t>
            </w:r>
            <w:proofErr w:type="spellEnd"/>
            <w:r w:rsidRPr="00AE00CC">
              <w:rPr>
                <w:rFonts w:ascii="Times New Roman" w:hAnsi="Times New Roman" w:cs="Times New Roman"/>
                <w:i/>
                <w:sz w:val="24"/>
                <w:szCs w:val="24"/>
              </w:rPr>
              <w:t>/s</w:t>
            </w:r>
            <w:r w:rsidR="00EC368A" w:rsidRPr="00AE00CC">
              <w:rPr>
                <w:rFonts w:ascii="Times New Roman" w:hAnsi="Times New Roman" w:cs="Times New Roman"/>
                <w:i/>
                <w:sz w:val="24"/>
                <w:szCs w:val="24"/>
              </w:rPr>
              <w:t xml:space="preserve"> (koji se može nadograditi na 1Gbit/s) u smjeru korisnika</w:t>
            </w:r>
            <w:r w:rsidRPr="00AE00CC">
              <w:rPr>
                <w:rFonts w:ascii="Times New Roman" w:hAnsi="Times New Roman" w:cs="Times New Roman"/>
                <w:i/>
                <w:sz w:val="24"/>
                <w:szCs w:val="24"/>
              </w:rPr>
              <w:t xml:space="preserve">  (upisati postotni udio zaokružen na dva decimalna mjesta)</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tc>
      </w:tr>
      <w:tr w:rsidR="00C71EE3" w:rsidRPr="00C71EE3" w:rsidTr="00A72CB5">
        <w:tc>
          <w:tcPr>
            <w:tcW w:w="4531" w:type="dxa"/>
            <w:shd w:val="clear" w:color="auto" w:fill="D0CECE"/>
          </w:tcPr>
          <w:p w:rsidR="00C71EE3" w:rsidRPr="00C71EE3" w:rsidRDefault="008C14F8" w:rsidP="00C71EE3">
            <w:pPr>
              <w:spacing w:after="160" w:line="259" w:lineRule="auto"/>
              <w:jc w:val="both"/>
              <w:rPr>
                <w:rFonts w:ascii="Times New Roman" w:hAnsi="Times New Roman" w:cs="Times New Roman"/>
                <w:i/>
                <w:sz w:val="24"/>
                <w:szCs w:val="24"/>
              </w:rPr>
            </w:pPr>
            <w:r w:rsidRPr="008C14F8">
              <w:rPr>
                <w:rFonts w:ascii="Times New Roman" w:hAnsi="Times New Roman" w:cs="Times New Roman"/>
                <w:i/>
                <w:sz w:val="24"/>
                <w:szCs w:val="24"/>
              </w:rPr>
              <w:t xml:space="preserve">Ukupan udio poslovnih i javnih korisnika u bijelim područjima, a kojima će se u okviru projekta omogućiti </w:t>
            </w:r>
            <w:proofErr w:type="spellStart"/>
            <w:r w:rsidRPr="008C14F8">
              <w:rPr>
                <w:rFonts w:ascii="Times New Roman" w:hAnsi="Times New Roman" w:cs="Times New Roman"/>
                <w:i/>
                <w:sz w:val="24"/>
                <w:szCs w:val="24"/>
              </w:rPr>
              <w:t>ultrabrzi</w:t>
            </w:r>
            <w:proofErr w:type="spellEnd"/>
            <w:r w:rsidRPr="008C14F8">
              <w:rPr>
                <w:rFonts w:ascii="Times New Roman" w:hAnsi="Times New Roman" w:cs="Times New Roman"/>
                <w:i/>
                <w:sz w:val="24"/>
                <w:szCs w:val="24"/>
              </w:rPr>
              <w:t xml:space="preserve"> pristup od najmanje 1 </w:t>
            </w:r>
            <w:proofErr w:type="spellStart"/>
            <w:r w:rsidRPr="008C14F8">
              <w:rPr>
                <w:rFonts w:ascii="Times New Roman" w:hAnsi="Times New Roman" w:cs="Times New Roman"/>
                <w:i/>
                <w:sz w:val="24"/>
                <w:szCs w:val="24"/>
              </w:rPr>
              <w:t>Gbit</w:t>
            </w:r>
            <w:proofErr w:type="spellEnd"/>
            <w:r w:rsidRPr="008C14F8">
              <w:rPr>
                <w:rFonts w:ascii="Times New Roman" w:hAnsi="Times New Roman" w:cs="Times New Roman"/>
                <w:i/>
                <w:sz w:val="24"/>
                <w:szCs w:val="24"/>
              </w:rPr>
              <w:t>/s simetrično (upisati postotni udio zaokružen na dva decimalna mjesta)</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tc>
      </w:tr>
    </w:tbl>
    <w:tbl>
      <w:tblPr>
        <w:tblStyle w:val="TableGrid2"/>
        <w:tblW w:w="9072" w:type="dxa"/>
        <w:tblBorders>
          <w:top w:val="none" w:sz="0" w:space="0" w:color="auto"/>
          <w:left w:val="none" w:sz="0" w:space="0" w:color="auto"/>
          <w:bottom w:val="none" w:sz="0" w:space="0" w:color="auto"/>
          <w:right w:val="none" w:sz="0" w:space="0" w:color="auto"/>
        </w:tblBorders>
        <w:shd w:val="clear" w:color="auto" w:fill="D9D9D9" w:themeFill="background1" w:themeFillShade="D9"/>
        <w:tblLayout w:type="fixed"/>
        <w:tblLook w:val="04A0" w:firstRow="1" w:lastRow="0" w:firstColumn="1" w:lastColumn="0" w:noHBand="0" w:noVBand="1"/>
      </w:tblPr>
      <w:tblGrid>
        <w:gridCol w:w="1814"/>
        <w:gridCol w:w="1730"/>
        <w:gridCol w:w="1899"/>
        <w:gridCol w:w="1814"/>
        <w:gridCol w:w="1815"/>
      </w:tblGrid>
      <w:tr w:rsidR="001712B8" w:rsidRPr="00096D99" w:rsidTr="006A3726">
        <w:tc>
          <w:tcPr>
            <w:tcW w:w="1814" w:type="dxa"/>
            <w:tcBorders>
              <w:top w:val="single" w:sz="4" w:space="0" w:color="auto"/>
              <w:left w:val="single" w:sz="4" w:space="0" w:color="auto"/>
              <w:bottom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096D99">
              <w:rPr>
                <w:i/>
                <w:sz w:val="24"/>
                <w:szCs w:val="24"/>
                <w:lang w:val="hr-HR"/>
              </w:rPr>
              <w:t>Jedinica lokalne samouprave</w:t>
            </w:r>
          </w:p>
        </w:tc>
        <w:tc>
          <w:tcPr>
            <w:tcW w:w="1730" w:type="dxa"/>
            <w:tcBorders>
              <w:top w:val="single" w:sz="4" w:space="0" w:color="auto"/>
              <w:bottom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096D99">
              <w:rPr>
                <w:i/>
                <w:sz w:val="24"/>
                <w:szCs w:val="24"/>
                <w:lang w:val="hr-HR"/>
              </w:rPr>
              <w:t>Otok/brdsko-planinsko područje</w:t>
            </w:r>
            <w:r w:rsidRPr="00534620">
              <w:rPr>
                <w:i/>
                <w:sz w:val="24"/>
                <w:szCs w:val="24"/>
                <w:vertAlign w:val="superscript"/>
                <w:lang w:val="hr-HR"/>
              </w:rPr>
              <w:footnoteReference w:id="9"/>
            </w:r>
          </w:p>
        </w:tc>
        <w:tc>
          <w:tcPr>
            <w:tcW w:w="1899" w:type="dxa"/>
            <w:tcBorders>
              <w:top w:val="single" w:sz="4" w:space="0" w:color="auto"/>
              <w:bottom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096D99">
              <w:rPr>
                <w:i/>
                <w:sz w:val="24"/>
                <w:szCs w:val="24"/>
                <w:lang w:val="hr-HR"/>
              </w:rPr>
              <w:t>Vrsta korisnika</w:t>
            </w:r>
            <w:r w:rsidRPr="00534620">
              <w:rPr>
                <w:i/>
                <w:sz w:val="24"/>
                <w:szCs w:val="24"/>
                <w:vertAlign w:val="superscript"/>
                <w:lang w:val="hr-HR"/>
              </w:rPr>
              <w:footnoteReference w:id="10"/>
            </w:r>
          </w:p>
        </w:tc>
        <w:tc>
          <w:tcPr>
            <w:tcW w:w="1814" w:type="dxa"/>
            <w:tcBorders>
              <w:top w:val="single" w:sz="4" w:space="0" w:color="auto"/>
              <w:bottom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AA1C6C">
              <w:rPr>
                <w:i/>
                <w:sz w:val="24"/>
                <w:szCs w:val="24"/>
                <w:lang w:val="hr-HR"/>
              </w:rPr>
              <w:t xml:space="preserve">Broj korisnika kojima će se omogućiti pristup širokopojasnoj infrastrukturi s brzinom preuzimanja od najmanje 100 </w:t>
            </w:r>
            <w:proofErr w:type="spellStart"/>
            <w:r w:rsidRPr="00AA1C6C">
              <w:rPr>
                <w:i/>
                <w:sz w:val="24"/>
                <w:szCs w:val="24"/>
                <w:lang w:val="hr-HR"/>
              </w:rPr>
              <w:t>Mbit</w:t>
            </w:r>
            <w:proofErr w:type="spellEnd"/>
            <w:r w:rsidRPr="00AA1C6C">
              <w:rPr>
                <w:i/>
                <w:sz w:val="24"/>
                <w:szCs w:val="24"/>
                <w:lang w:val="hr-HR"/>
              </w:rPr>
              <w:t xml:space="preserve">/s (s mogućnošću nadogradnje na </w:t>
            </w:r>
            <w:r w:rsidRPr="00AA1C6C">
              <w:rPr>
                <w:i/>
                <w:sz w:val="24"/>
                <w:szCs w:val="24"/>
                <w:lang w:val="hr-HR"/>
              </w:rPr>
              <w:lastRenderedPageBreak/>
              <w:t xml:space="preserve">1 </w:t>
            </w:r>
            <w:proofErr w:type="spellStart"/>
            <w:r w:rsidRPr="00AA1C6C">
              <w:rPr>
                <w:i/>
                <w:sz w:val="24"/>
                <w:szCs w:val="24"/>
                <w:lang w:val="hr-HR"/>
              </w:rPr>
              <w:t>Gbit</w:t>
            </w:r>
            <w:proofErr w:type="spellEnd"/>
            <w:r w:rsidRPr="00AA1C6C">
              <w:rPr>
                <w:i/>
                <w:sz w:val="24"/>
                <w:szCs w:val="24"/>
                <w:lang w:val="hr-HR"/>
              </w:rPr>
              <w:t>/s) u smjeru korisnika</w:t>
            </w: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center"/>
              <w:rPr>
                <w:i/>
                <w:sz w:val="24"/>
                <w:szCs w:val="24"/>
                <w:lang w:val="hr-HR"/>
              </w:rPr>
            </w:pPr>
            <w:r w:rsidRPr="00096D99">
              <w:rPr>
                <w:i/>
                <w:sz w:val="24"/>
                <w:szCs w:val="24"/>
                <w:lang w:val="hr-HR"/>
              </w:rPr>
              <w:lastRenderedPageBreak/>
              <w:t xml:space="preserve">Broj korisnika kojima će se omogućiti pristup širokopojasnoj infrastrukturi s najmanje 1 </w:t>
            </w:r>
            <w:proofErr w:type="spellStart"/>
            <w:r>
              <w:rPr>
                <w:i/>
                <w:sz w:val="24"/>
                <w:szCs w:val="24"/>
                <w:lang w:val="hr-HR"/>
              </w:rPr>
              <w:t>G</w:t>
            </w:r>
            <w:r w:rsidRPr="00096D99">
              <w:rPr>
                <w:i/>
                <w:sz w:val="24"/>
                <w:szCs w:val="24"/>
                <w:lang w:val="hr-HR"/>
              </w:rPr>
              <w:t>bit</w:t>
            </w:r>
            <w:proofErr w:type="spellEnd"/>
            <w:r w:rsidRPr="00096D99">
              <w:rPr>
                <w:i/>
                <w:sz w:val="24"/>
                <w:szCs w:val="24"/>
                <w:lang w:val="hr-HR"/>
              </w:rPr>
              <w:t>/s simetrično</w:t>
            </w:r>
          </w:p>
        </w:tc>
      </w:tr>
      <w:tr w:rsidR="001712B8" w:rsidRPr="00096D99" w:rsidTr="006A3726">
        <w:tc>
          <w:tcPr>
            <w:tcW w:w="1814" w:type="dxa"/>
            <w:vMerge w:val="restart"/>
            <w:tcBorders>
              <w:top w:val="single" w:sz="4" w:space="0" w:color="auto"/>
              <w:left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096D99">
              <w:rPr>
                <w:i/>
                <w:sz w:val="24"/>
                <w:szCs w:val="24"/>
                <w:lang w:val="hr-HR"/>
              </w:rPr>
              <w:t>&lt;umetnuti naziv jedinice lokalne samouprave na čijem se području provodi projekt&gt;</w:t>
            </w:r>
          </w:p>
        </w:tc>
        <w:tc>
          <w:tcPr>
            <w:tcW w:w="1730" w:type="dxa"/>
            <w:vMerge w:val="restart"/>
            <w:tcBorders>
              <w:top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Stanovi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numPr>
                <w:ilvl w:val="0"/>
                <w:numId w:val="41"/>
              </w:numPr>
              <w:spacing w:after="160" w:line="259" w:lineRule="auto"/>
              <w:contextualSpacing/>
              <w:jc w:val="both"/>
              <w:rPr>
                <w:i/>
                <w:sz w:val="24"/>
                <w:szCs w:val="24"/>
                <w:lang w:val="hr-HR"/>
              </w:rPr>
            </w:pPr>
            <w:r w:rsidRPr="00096D99">
              <w:rPr>
                <w:i/>
                <w:sz w:val="24"/>
                <w:szCs w:val="24"/>
                <w:lang w:val="hr-HR"/>
              </w:rPr>
              <w:t>od toga kućanstva</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Javni korisnici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Poslovni korisnici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vAlign w:val="center"/>
          </w:tcPr>
          <w:p w:rsidR="001712B8" w:rsidRPr="00096D99" w:rsidRDefault="001712B8" w:rsidP="006A3726">
            <w:pPr>
              <w:spacing w:after="160" w:line="259" w:lineRule="auto"/>
              <w:jc w:val="both"/>
              <w:rPr>
                <w:i/>
                <w:sz w:val="24"/>
                <w:szCs w:val="24"/>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Ukupno krajnjih korisnika na području JLS-a</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15" w:type="dxa"/>
            <w:vMerge w:val="restart"/>
            <w:tcBorders>
              <w:top w:val="single" w:sz="4" w:space="0" w:color="auto"/>
              <w:right w:val="single" w:sz="4" w:space="0" w:color="auto"/>
              <w:tr2bl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r>
      <w:tr w:rsidR="001712B8" w:rsidRPr="00096D99" w:rsidTr="006A3726">
        <w:tc>
          <w:tcPr>
            <w:tcW w:w="1814" w:type="dxa"/>
            <w:vMerge/>
            <w:tcBorders>
              <w:left w:val="single" w:sz="4" w:space="0" w:color="auto"/>
              <w:bottom w:val="single" w:sz="4" w:space="0" w:color="auto"/>
            </w:tcBorders>
            <w:shd w:val="clear" w:color="auto" w:fill="D9D9D9" w:themeFill="background1" w:themeFillShade="D9"/>
            <w:vAlign w:val="center"/>
          </w:tcPr>
          <w:p w:rsidR="001712B8" w:rsidRPr="00096D99" w:rsidRDefault="001712B8" w:rsidP="006A3726">
            <w:pPr>
              <w:spacing w:after="160" w:line="259" w:lineRule="auto"/>
              <w:jc w:val="both"/>
              <w:rPr>
                <w:i/>
                <w:sz w:val="24"/>
                <w:szCs w:val="24"/>
              </w:rPr>
            </w:pPr>
          </w:p>
        </w:tc>
        <w:tc>
          <w:tcPr>
            <w:tcW w:w="1730" w:type="dxa"/>
            <w:vMerge/>
            <w:tcBorders>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1712B8" w:rsidRPr="00BC5BB9" w:rsidRDefault="001712B8" w:rsidP="006A3726">
            <w:pPr>
              <w:spacing w:after="160" w:line="259" w:lineRule="auto"/>
              <w:jc w:val="both"/>
              <w:rPr>
                <w:i/>
                <w:sz w:val="24"/>
                <w:szCs w:val="24"/>
                <w:lang w:val="hr-HR"/>
              </w:rPr>
            </w:pPr>
            <w:r w:rsidRPr="00BC5BB9">
              <w:rPr>
                <w:i/>
                <w:sz w:val="24"/>
                <w:szCs w:val="24"/>
                <w:lang w:val="hr-HR"/>
              </w:rPr>
              <w:t>Razvrstanost JLS-a skupini prema indeksu razvijenosti</w:t>
            </w:r>
            <w:r w:rsidRPr="00BC5BB9">
              <w:rPr>
                <w:i/>
                <w:sz w:val="24"/>
                <w:szCs w:val="24"/>
                <w:vertAlign w:val="superscript"/>
              </w:rPr>
              <w:fldChar w:fldCharType="begin"/>
            </w:r>
            <w:r w:rsidRPr="00BC5BB9">
              <w:rPr>
                <w:i/>
                <w:sz w:val="24"/>
                <w:szCs w:val="24"/>
                <w:vertAlign w:val="superscript"/>
                <w:lang w:val="hr-HR"/>
              </w:rPr>
              <w:instrText xml:space="preserve"> NOTEREF _Ref3386826 \h </w:instrText>
            </w:r>
            <w:r>
              <w:rPr>
                <w:i/>
                <w:sz w:val="24"/>
                <w:szCs w:val="24"/>
                <w:vertAlign w:val="superscript"/>
                <w:lang w:val="hr-HR"/>
              </w:rPr>
              <w:instrText xml:space="preserve"> \* MERGEFORMAT </w:instrText>
            </w:r>
            <w:r w:rsidRPr="00BC5BB9">
              <w:rPr>
                <w:i/>
                <w:sz w:val="24"/>
                <w:szCs w:val="24"/>
                <w:vertAlign w:val="superscript"/>
              </w:rPr>
            </w:r>
            <w:r w:rsidRPr="00BC5BB9">
              <w:rPr>
                <w:i/>
                <w:sz w:val="24"/>
                <w:szCs w:val="24"/>
                <w:vertAlign w:val="superscript"/>
              </w:rPr>
              <w:fldChar w:fldCharType="separate"/>
            </w:r>
            <w:r w:rsidRPr="00BC5BB9">
              <w:rPr>
                <w:i/>
                <w:sz w:val="24"/>
                <w:szCs w:val="24"/>
                <w:vertAlign w:val="superscript"/>
                <w:lang w:val="hr-HR"/>
              </w:rPr>
              <w:t>8</w:t>
            </w:r>
            <w:r w:rsidRPr="00BC5BB9">
              <w:rPr>
                <w:i/>
                <w:sz w:val="24"/>
                <w:szCs w:val="24"/>
                <w:vertAlign w:val="superscript"/>
              </w:rPr>
              <w:fldChar w:fldCharType="end"/>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15" w:type="dxa"/>
            <w:vMerge/>
            <w:tcBorders>
              <w:bottom w:val="single" w:sz="4" w:space="0" w:color="auto"/>
              <w:right w:val="single" w:sz="4" w:space="0" w:color="auto"/>
              <w:tr2bl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r>
      <w:tr w:rsidR="001712B8" w:rsidRPr="00096D99" w:rsidTr="006A3726">
        <w:tc>
          <w:tcPr>
            <w:tcW w:w="1814" w:type="dxa"/>
            <w:vMerge w:val="restart"/>
            <w:tcBorders>
              <w:top w:val="single" w:sz="4" w:space="0" w:color="auto"/>
              <w:left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096D99">
              <w:rPr>
                <w:i/>
                <w:sz w:val="24"/>
                <w:szCs w:val="24"/>
                <w:lang w:val="hr-HR"/>
              </w:rPr>
              <w:t>&lt;umetnuti naziv jedinice lokalne samouprave na čijem se području provodi projekt&gt;</w:t>
            </w:r>
          </w:p>
        </w:tc>
        <w:tc>
          <w:tcPr>
            <w:tcW w:w="1730" w:type="dxa"/>
            <w:vMerge w:val="restart"/>
            <w:tcBorders>
              <w:top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Stanovi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numPr>
                <w:ilvl w:val="0"/>
                <w:numId w:val="41"/>
              </w:numPr>
              <w:spacing w:after="160" w:line="259" w:lineRule="auto"/>
              <w:contextualSpacing/>
              <w:jc w:val="both"/>
              <w:rPr>
                <w:i/>
                <w:sz w:val="24"/>
                <w:szCs w:val="24"/>
                <w:lang w:val="hr-HR"/>
              </w:rPr>
            </w:pPr>
            <w:r w:rsidRPr="00096D99">
              <w:rPr>
                <w:i/>
                <w:sz w:val="24"/>
                <w:szCs w:val="24"/>
                <w:lang w:val="hr-HR"/>
              </w:rPr>
              <w:t>od toga kućanstva</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Javni korisnici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Poslovni korisnici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Ukupno krajnjih korisnika na području JLS-a</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15" w:type="dxa"/>
            <w:vMerge w:val="restart"/>
            <w:tcBorders>
              <w:top w:val="single" w:sz="4" w:space="0" w:color="auto"/>
              <w:right w:val="single" w:sz="4" w:space="0" w:color="auto"/>
              <w:tr2bl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r>
      <w:tr w:rsidR="001712B8" w:rsidRPr="00096D99" w:rsidTr="006A3726">
        <w:tc>
          <w:tcPr>
            <w:tcW w:w="1814" w:type="dxa"/>
            <w:vMerge/>
            <w:tcBorders>
              <w:left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730" w:type="dxa"/>
            <w:vMerge/>
            <w:tcBorders>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1712B8" w:rsidRPr="00BC5BB9" w:rsidRDefault="001712B8" w:rsidP="006A3726">
            <w:pPr>
              <w:spacing w:after="160" w:line="259" w:lineRule="auto"/>
              <w:jc w:val="both"/>
              <w:rPr>
                <w:i/>
                <w:sz w:val="24"/>
                <w:szCs w:val="24"/>
                <w:lang w:val="hr-HR"/>
              </w:rPr>
            </w:pPr>
            <w:r w:rsidRPr="00BC5BB9">
              <w:rPr>
                <w:i/>
                <w:sz w:val="24"/>
                <w:szCs w:val="24"/>
                <w:lang w:val="hr-HR"/>
              </w:rPr>
              <w:t>Razvrstanost JLS-a skupini prema indeksu razvijenosti</w:t>
            </w:r>
            <w:r w:rsidRPr="00BC5BB9">
              <w:rPr>
                <w:rStyle w:val="FootnoteReference"/>
                <w:i/>
                <w:sz w:val="24"/>
                <w:szCs w:val="24"/>
                <w:lang w:val="hr-HR"/>
              </w:rPr>
              <w:footnoteReference w:id="11"/>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15" w:type="dxa"/>
            <w:vMerge/>
            <w:tcBorders>
              <w:bottom w:val="single" w:sz="4" w:space="0" w:color="auto"/>
              <w:right w:val="single" w:sz="4" w:space="0" w:color="auto"/>
              <w:tr2bl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r>
      <w:tr w:rsidR="001712B8" w:rsidRPr="00096D99" w:rsidTr="006A3726">
        <w:tc>
          <w:tcPr>
            <w:tcW w:w="1814" w:type="dxa"/>
            <w:tcBorders>
              <w:top w:val="single" w:sz="4" w:space="0" w:color="auto"/>
              <w:left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b/>
                <w:i/>
                <w:sz w:val="24"/>
                <w:szCs w:val="24"/>
                <w:lang w:val="hr-HR"/>
              </w:rPr>
            </w:pPr>
            <w:r w:rsidRPr="00096D99">
              <w:rPr>
                <w:b/>
                <w:i/>
                <w:sz w:val="24"/>
                <w:szCs w:val="24"/>
                <w:lang w:val="hr-HR"/>
              </w:rPr>
              <w:t>UKUPNO</w:t>
            </w:r>
          </w:p>
        </w:tc>
        <w:tc>
          <w:tcPr>
            <w:tcW w:w="1730"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bl>
    <w:p w:rsidR="00C71EE3" w:rsidRDefault="00C71EE3" w:rsidP="009C13DA">
      <w:pPr>
        <w:tabs>
          <w:tab w:val="left" w:pos="851"/>
        </w:tabs>
        <w:spacing w:after="120"/>
        <w:jc w:val="both"/>
        <w:rPr>
          <w:rFonts w:ascii="Times New Roman" w:eastAsia="Times New Roman" w:hAnsi="Times New Roman" w:cs="Times New Roman"/>
          <w:sz w:val="24"/>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2711D9">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9" w:name="_Hlk63507179"/>
      <w:bookmarkStart w:id="10"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2711D9"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Prijavitelj:</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2711D9">
        <w:rPr>
          <w:rFonts w:ascii="Times New Roman" w:eastAsia="Times New Roman" w:hAnsi="Times New Roman" w:cs="Times New Roman"/>
          <w:i/>
          <w:sz w:val="24"/>
          <w:szCs w:val="24"/>
          <w:lang w:eastAsia="en-US"/>
        </w:rPr>
        <w:t>P</w:t>
      </w:r>
      <w:r w:rsidR="006C5E25" w:rsidRPr="00D6396B">
        <w:rPr>
          <w:rFonts w:ascii="Times New Roman" w:eastAsia="Times New Roman" w:hAnsi="Times New Roman" w:cs="Times New Roman"/>
          <w:i/>
          <w:sz w:val="24"/>
          <w:szCs w:val="24"/>
          <w:lang w:eastAsia="en-US"/>
        </w:rPr>
        <w:t xml:space="preserve">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9"/>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10"/>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91" w:rsidRDefault="00C86B91" w:rsidP="00EC4A16">
      <w:pPr>
        <w:spacing w:after="0" w:line="240" w:lineRule="auto"/>
      </w:pPr>
      <w:r>
        <w:separator/>
      </w:r>
    </w:p>
  </w:endnote>
  <w:endnote w:type="continuationSeparator" w:id="0">
    <w:p w:rsidR="00C86B91" w:rsidRDefault="00C86B9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91" w:rsidRDefault="00C86B91" w:rsidP="00EC4A16">
      <w:pPr>
        <w:spacing w:after="0" w:line="240" w:lineRule="auto"/>
      </w:pPr>
      <w:r>
        <w:separator/>
      </w:r>
    </w:p>
  </w:footnote>
  <w:footnote w:type="continuationSeparator" w:id="0">
    <w:p w:rsidR="00C86B91" w:rsidRDefault="00C86B91"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Prijavitelj</w:t>
      </w:r>
      <w:r w:rsidR="00775C5E">
        <w:rPr>
          <w:rStyle w:val="FootnoteReference"/>
          <w:rFonts w:ascii="Times New Roman" w:hAnsi="Times New Roman"/>
        </w:rPr>
        <w:t xml:space="preserve"> i partner</w:t>
      </w:r>
      <w:r w:rsidR="00913FA6" w:rsidRPr="005066A0">
        <w:rPr>
          <w:rStyle w:val="FootnoteReference"/>
          <w:rFonts w:ascii="Times New Roman" w:hAnsi="Times New Roman"/>
        </w:rPr>
        <w:t xml:space="preserve">, kao potencijalni </w:t>
      </w:r>
      <w:r w:rsidR="001F7DC8">
        <w:rPr>
          <w:rStyle w:val="FootnoteReference"/>
          <w:rFonts w:ascii="Times New Roman" w:hAnsi="Times New Roman"/>
        </w:rPr>
        <w:t>k</w:t>
      </w:r>
      <w:r w:rsidRPr="00193C41">
        <w:rPr>
          <w:rStyle w:val="FootnoteReference"/>
          <w:rFonts w:ascii="Times New Roman" w:hAnsi="Times New Roman"/>
        </w:rPr>
        <w:t>orisni</w:t>
      </w:r>
      <w:r w:rsidR="00775C5E">
        <w:rPr>
          <w:rStyle w:val="FootnoteReference"/>
          <w:rFonts w:ascii="Times New Roman" w:hAnsi="Times New Roman"/>
        </w:rPr>
        <w:t>ci</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8C3715" w:rsidRDefault="008C3715" w:rsidP="008C3715">
      <w:pPr>
        <w:pStyle w:val="FootnoteText"/>
      </w:pPr>
      <w:r>
        <w:rPr>
          <w:rStyle w:val="FootnoteReference"/>
        </w:rPr>
        <w:footnoteRef/>
      </w:r>
      <w:r>
        <w:t xml:space="preserve"> </w:t>
      </w:r>
      <w:r w:rsidRPr="008C3715">
        <w:rPr>
          <w:rStyle w:val="FootnoteReference"/>
          <w:rFonts w:eastAsiaTheme="minorEastAsia"/>
          <w:noProof w:val="0"/>
          <w:sz w:val="22"/>
          <w:szCs w:val="22"/>
          <w:lang w:eastAsia="hr-HR"/>
        </w:rPr>
        <w:t>Popuniti ukoliko su sredstva već osigurana.</w:t>
      </w:r>
    </w:p>
  </w:footnote>
  <w:footnote w:id="3">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 w:id="5">
    <w:p w:rsidR="009C13DA" w:rsidRDefault="009C13DA" w:rsidP="009C13DA">
      <w:pPr>
        <w:pStyle w:val="FootnoteText"/>
      </w:pPr>
      <w:r>
        <w:rPr>
          <w:rStyle w:val="FootnoteReference"/>
        </w:rPr>
        <w:footnoteRef/>
      </w:r>
      <w:r>
        <w:t xml:space="preserve"> </w:t>
      </w:r>
      <w:r w:rsidRPr="000C42B7">
        <w:t>Provedbom programa i infrastrukturom će upravljati javna tvrtka "Odašiljači i veze d.o.o." (OiV) imajući u tu svrhu ulogu produžene ruke Vlade Republike Hrvatske (</w:t>
      </w:r>
      <w:r w:rsidRPr="000C42B7">
        <w:rPr>
          <w:i/>
        </w:rPr>
        <w:t>manus longa</w:t>
      </w:r>
      <w:r w:rsidRPr="000C42B7">
        <w:t>).</w:t>
      </w:r>
    </w:p>
  </w:footnote>
  <w:footnote w:id="6">
    <w:p w:rsidR="00AA1C6C" w:rsidRDefault="00AA1C6C" w:rsidP="00AA1C6C">
      <w:pPr>
        <w:pStyle w:val="FootnoteText"/>
      </w:pPr>
      <w:r>
        <w:rPr>
          <w:rStyle w:val="FootnoteReference"/>
        </w:rPr>
        <w:footnoteRef/>
      </w:r>
      <w:r>
        <w:t xml:space="preserve"> </w:t>
      </w:r>
      <w:r>
        <w:t xml:space="preserve">Jedinice lokalne samouprave koje se nalaze na otocima i brdsko-planinskim područjima sukladno </w:t>
      </w:r>
      <w:r w:rsidRPr="00CC409D">
        <w:t>Zakonu o brdsko-planinskim područjima (NN 118/18)</w:t>
      </w:r>
      <w:r>
        <w:t>.</w:t>
      </w:r>
    </w:p>
  </w:footnote>
  <w:footnote w:id="7">
    <w:p w:rsidR="00AA1C6C" w:rsidRPr="001D248E" w:rsidRDefault="00AA1C6C" w:rsidP="00AA1C6C">
      <w:pPr>
        <w:pStyle w:val="FootnoteText"/>
      </w:pPr>
      <w:r>
        <w:rPr>
          <w:rStyle w:val="FootnoteReference"/>
        </w:rPr>
        <w:footnoteRef/>
      </w:r>
      <w:r>
        <w:t xml:space="preserve"> </w:t>
      </w:r>
      <w:r w:rsidRPr="001D248E">
        <w:t xml:space="preserve">Definicije korisnika istovjetne su navedenima u Uputama za prijavitelje predmetnog </w:t>
      </w:r>
      <w:r>
        <w:t>Ograničenog p</w:t>
      </w:r>
      <w:r w:rsidRPr="001D248E">
        <w:t>oziva.</w:t>
      </w:r>
    </w:p>
  </w:footnote>
  <w:footnote w:id="8">
    <w:p w:rsidR="00AA1C6C" w:rsidRDefault="00AA1C6C" w:rsidP="00AA1C6C">
      <w:pPr>
        <w:pStyle w:val="FootnoteText"/>
      </w:pPr>
      <w:r>
        <w:rPr>
          <w:rStyle w:val="FootnoteReference"/>
        </w:rPr>
        <w:footnoteRef/>
      </w:r>
      <w:r>
        <w:t xml:space="preserve"> </w:t>
      </w:r>
      <w:r>
        <w:t>Razvrstavanje JLS-a temeljem Odluke o razvrstavanju jedinica lokalne i područne (regionalne) samouprave prema stupnju razvijenosti (NN 132/17).</w:t>
      </w:r>
    </w:p>
  </w:footnote>
  <w:footnote w:id="9">
    <w:p w:rsidR="001712B8" w:rsidRDefault="001712B8" w:rsidP="001712B8">
      <w:pPr>
        <w:pStyle w:val="FootnoteText"/>
      </w:pPr>
      <w:r>
        <w:rPr>
          <w:rStyle w:val="FootnoteReference"/>
        </w:rPr>
        <w:footnoteRef/>
      </w:r>
      <w:r>
        <w:t xml:space="preserve"> </w:t>
      </w:r>
      <w:r>
        <w:t xml:space="preserve">Jedinice lokalne samouprave koje se nalaze na otocima i brdsko-planinskim područjima sukladno </w:t>
      </w:r>
      <w:r w:rsidRPr="00CC409D">
        <w:t>Zakonu o brdsko-planinskim područjima (NN 118/18)</w:t>
      </w:r>
      <w:r>
        <w:t>.</w:t>
      </w:r>
    </w:p>
  </w:footnote>
  <w:footnote w:id="10">
    <w:p w:rsidR="001712B8" w:rsidRPr="001D248E" w:rsidRDefault="001712B8" w:rsidP="001712B8">
      <w:pPr>
        <w:pStyle w:val="FootnoteText"/>
      </w:pPr>
      <w:r>
        <w:rPr>
          <w:rStyle w:val="FootnoteReference"/>
        </w:rPr>
        <w:footnoteRef/>
      </w:r>
      <w:r>
        <w:t xml:space="preserve"> </w:t>
      </w:r>
      <w:r w:rsidRPr="001D248E">
        <w:t xml:space="preserve">Definicije korisnika istovjetne su navedenima u Uputama za prijavitelje predmetnog </w:t>
      </w:r>
      <w:r>
        <w:t>Ograničenog p</w:t>
      </w:r>
      <w:r w:rsidRPr="001D248E">
        <w:t>oziva.</w:t>
      </w:r>
    </w:p>
  </w:footnote>
  <w:footnote w:id="11">
    <w:p w:rsidR="001712B8" w:rsidRDefault="001712B8" w:rsidP="001712B8">
      <w:pPr>
        <w:pStyle w:val="FootnoteText"/>
      </w:pPr>
      <w:r>
        <w:rPr>
          <w:rStyle w:val="FootnoteReference"/>
        </w:rPr>
        <w:footnoteRef/>
      </w:r>
      <w:r>
        <w:t xml:space="preserve"> </w:t>
      </w:r>
      <w:r>
        <w:t>Razvrstavanje JLS-a temeljem Odluke o razvrstavanju jedinica lokalne i područne (regionalne) samouprave prema stupnju razvijenosti (NN 132/17).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557224">
    <w:pPr>
      <w:pStyle w:val="Header"/>
    </w:pPr>
    <w:ins w:id="11" w:author="Author">
      <w:r>
        <w:rPr>
          <w:rFonts w:ascii="Times New Roman" w:hAnsi="Times New Roman" w:cs="Times New Roman"/>
          <w:b/>
          <w:noProof/>
          <w:sz w:val="24"/>
          <w:szCs w:val="24"/>
        </w:rPr>
        <w:drawing>
          <wp:inline distT="0" distB="0" distL="0" distR="0" wp14:anchorId="7B269814" wp14:editId="12A51F0B">
            <wp:extent cx="5760720" cy="6411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1102"/>
                    </a:xfrm>
                    <a:prstGeom prst="rect">
                      <a:avLst/>
                    </a:prstGeom>
                    <a:noFill/>
                  </pic:spPr>
                </pic:pic>
              </a:graphicData>
            </a:graphic>
          </wp:inline>
        </w:drawing>
      </w:r>
    </w:ins>
    <w:r w:rsidR="007C06F9">
      <w:tab/>
    </w:r>
    <w:r w:rsidR="007C06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abstractNum w:abstractNumId="0" w15:restartNumberingAfterBreak="0">
    <w:nsid w:val="007B12EA"/>
    <w:multiLevelType w:val="hybridMultilevel"/>
    <w:tmpl w:val="BA98D31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83745870">
      <w:start w:val="1"/>
      <w:numFmt w:val="lowerRoman"/>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C548A9"/>
    <w:multiLevelType w:val="hybridMultilevel"/>
    <w:tmpl w:val="5914E7D8"/>
    <w:lvl w:ilvl="0" w:tplc="B4E8A704">
      <w:start w:val="1"/>
      <w:numFmt w:val="bullet"/>
      <w:lvlText w:val=""/>
      <w:lvlJc w:val="left"/>
      <w:pPr>
        <w:ind w:left="720" w:hanging="360"/>
      </w:pPr>
      <w:rPr>
        <w:rFonts w:ascii="Symbol" w:hAnsi="Symbol" w:hint="default"/>
      </w:rPr>
    </w:lvl>
    <w:lvl w:ilvl="1" w:tplc="6414C01C">
      <w:start w:val="6"/>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6"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7" w15:restartNumberingAfterBreak="0">
    <w:nsid w:val="15F92AF0"/>
    <w:multiLevelType w:val="hybridMultilevel"/>
    <w:tmpl w:val="7CB6D3A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3D2581"/>
    <w:multiLevelType w:val="hybridMultilevel"/>
    <w:tmpl w:val="6FA0D886"/>
    <w:lvl w:ilvl="0" w:tplc="466606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42270F16"/>
    <w:multiLevelType w:val="hybridMultilevel"/>
    <w:tmpl w:val="F2A8A940"/>
    <w:lvl w:ilvl="0" w:tplc="B4E8A70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FF16A3"/>
    <w:multiLevelType w:val="hybridMultilevel"/>
    <w:tmpl w:val="59B63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6" w15:restartNumberingAfterBreak="0">
    <w:nsid w:val="52927B60"/>
    <w:multiLevelType w:val="hybridMultilevel"/>
    <w:tmpl w:val="EE2214A4"/>
    <w:lvl w:ilvl="0" w:tplc="B4E8A7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971C2F"/>
    <w:multiLevelType w:val="hybridMultilevel"/>
    <w:tmpl w:val="CE320162"/>
    <w:lvl w:ilvl="0" w:tplc="041A0003">
      <w:start w:val="1"/>
      <w:numFmt w:val="bullet"/>
      <w:lvlText w:val="o"/>
      <w:lvlJc w:val="left"/>
      <w:pPr>
        <w:ind w:left="2520" w:hanging="360"/>
      </w:pPr>
      <w:rPr>
        <w:rFonts w:ascii="Courier New" w:hAnsi="Courier New" w:cs="Courier New" w:hint="default"/>
      </w:rPr>
    </w:lvl>
    <w:lvl w:ilvl="1" w:tplc="041A0003">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1" w15:restartNumberingAfterBreak="0">
    <w:nsid w:val="5C3933D8"/>
    <w:multiLevelType w:val="hybridMultilevel"/>
    <w:tmpl w:val="6C324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15:restartNumberingAfterBreak="0">
    <w:nsid w:val="684B4855"/>
    <w:multiLevelType w:val="hybridMultilevel"/>
    <w:tmpl w:val="5B007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41"/>
  </w:num>
  <w:num w:numId="4">
    <w:abstractNumId w:val="1"/>
  </w:num>
  <w:num w:numId="5">
    <w:abstractNumId w:val="12"/>
  </w:num>
  <w:num w:numId="6">
    <w:abstractNumId w:val="25"/>
  </w:num>
  <w:num w:numId="7">
    <w:abstractNumId w:val="2"/>
  </w:num>
  <w:num w:numId="8">
    <w:abstractNumId w:val="11"/>
  </w:num>
  <w:num w:numId="9">
    <w:abstractNumId w:val="17"/>
  </w:num>
  <w:num w:numId="10">
    <w:abstractNumId w:val="9"/>
  </w:num>
  <w:num w:numId="11">
    <w:abstractNumId w:val="22"/>
  </w:num>
  <w:num w:numId="12">
    <w:abstractNumId w:val="10"/>
  </w:num>
  <w:num w:numId="13">
    <w:abstractNumId w:val="27"/>
  </w:num>
  <w:num w:numId="14">
    <w:abstractNumId w:val="38"/>
  </w:num>
  <w:num w:numId="15">
    <w:abstractNumId w:val="33"/>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4"/>
  </w:num>
  <w:num w:numId="20">
    <w:abstractNumId w:val="21"/>
  </w:num>
  <w:num w:numId="21">
    <w:abstractNumId w:val="40"/>
  </w:num>
  <w:num w:numId="22">
    <w:abstractNumId w:val="13"/>
  </w:num>
  <w:num w:numId="23">
    <w:abstractNumId w:val="28"/>
  </w:num>
  <w:num w:numId="24">
    <w:abstractNumId w:val="8"/>
  </w:num>
  <w:num w:numId="25">
    <w:abstractNumId w:val="36"/>
  </w:num>
  <w:num w:numId="26">
    <w:abstractNumId w:val="39"/>
  </w:num>
  <w:num w:numId="27">
    <w:abstractNumId w:val="14"/>
  </w:num>
  <w:num w:numId="28">
    <w:abstractNumId w:val="16"/>
  </w:num>
  <w:num w:numId="29">
    <w:abstractNumId w:val="3"/>
  </w:num>
  <w:num w:numId="30">
    <w:abstractNumId w:val="32"/>
  </w:num>
  <w:num w:numId="31">
    <w:abstractNumId w:val="29"/>
  </w:num>
  <w:num w:numId="32">
    <w:abstractNumId w:val="5"/>
  </w:num>
  <w:num w:numId="33">
    <w:abstractNumId w:val="7"/>
  </w:num>
  <w:num w:numId="34">
    <w:abstractNumId w:val="0"/>
  </w:num>
  <w:num w:numId="35">
    <w:abstractNumId w:val="30"/>
  </w:num>
  <w:num w:numId="36">
    <w:abstractNumId w:val="31"/>
  </w:num>
  <w:num w:numId="37">
    <w:abstractNumId w:val="23"/>
  </w:num>
  <w:num w:numId="38">
    <w:abstractNumId w:val="19"/>
  </w:num>
  <w:num w:numId="39">
    <w:abstractNumId w:val="34"/>
  </w:num>
  <w:num w:numId="40">
    <w:abstractNumId w:val="4"/>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627"/>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701FB"/>
    <w:rsid w:val="001712B8"/>
    <w:rsid w:val="0017692C"/>
    <w:rsid w:val="00182930"/>
    <w:rsid w:val="0019014E"/>
    <w:rsid w:val="00193C41"/>
    <w:rsid w:val="00197C5F"/>
    <w:rsid w:val="001B1859"/>
    <w:rsid w:val="001B564C"/>
    <w:rsid w:val="001B6054"/>
    <w:rsid w:val="001C55B6"/>
    <w:rsid w:val="001D26FE"/>
    <w:rsid w:val="001D351E"/>
    <w:rsid w:val="001E19C5"/>
    <w:rsid w:val="001E5191"/>
    <w:rsid w:val="001F1EB0"/>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A4511"/>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AED"/>
    <w:rsid w:val="00313D5A"/>
    <w:rsid w:val="003225ED"/>
    <w:rsid w:val="00325AD4"/>
    <w:rsid w:val="00332F52"/>
    <w:rsid w:val="00342013"/>
    <w:rsid w:val="00344193"/>
    <w:rsid w:val="00345139"/>
    <w:rsid w:val="0034536A"/>
    <w:rsid w:val="003475C4"/>
    <w:rsid w:val="00352104"/>
    <w:rsid w:val="00357490"/>
    <w:rsid w:val="003744E0"/>
    <w:rsid w:val="00376552"/>
    <w:rsid w:val="00381608"/>
    <w:rsid w:val="00383930"/>
    <w:rsid w:val="003869A6"/>
    <w:rsid w:val="00387B0A"/>
    <w:rsid w:val="00391575"/>
    <w:rsid w:val="003916D0"/>
    <w:rsid w:val="003918DD"/>
    <w:rsid w:val="00395321"/>
    <w:rsid w:val="003B6F30"/>
    <w:rsid w:val="003C1914"/>
    <w:rsid w:val="003C26D2"/>
    <w:rsid w:val="003C3125"/>
    <w:rsid w:val="003C60CF"/>
    <w:rsid w:val="003E2757"/>
    <w:rsid w:val="003E3836"/>
    <w:rsid w:val="003E3D3A"/>
    <w:rsid w:val="003E68DC"/>
    <w:rsid w:val="003E707D"/>
    <w:rsid w:val="003F1477"/>
    <w:rsid w:val="003F6585"/>
    <w:rsid w:val="003F67ED"/>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4A0"/>
    <w:rsid w:val="004A2899"/>
    <w:rsid w:val="004B20CB"/>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224"/>
    <w:rsid w:val="00557335"/>
    <w:rsid w:val="00557E86"/>
    <w:rsid w:val="00560F19"/>
    <w:rsid w:val="005613F5"/>
    <w:rsid w:val="00564147"/>
    <w:rsid w:val="00571BDD"/>
    <w:rsid w:val="00575256"/>
    <w:rsid w:val="00590D44"/>
    <w:rsid w:val="00591ABF"/>
    <w:rsid w:val="00592E3E"/>
    <w:rsid w:val="00597556"/>
    <w:rsid w:val="005A349F"/>
    <w:rsid w:val="005A3F43"/>
    <w:rsid w:val="005B1B4C"/>
    <w:rsid w:val="005C13BC"/>
    <w:rsid w:val="005C2A98"/>
    <w:rsid w:val="005C76DE"/>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230"/>
    <w:rsid w:val="006817F2"/>
    <w:rsid w:val="00683AE5"/>
    <w:rsid w:val="006973F7"/>
    <w:rsid w:val="006975D5"/>
    <w:rsid w:val="006A03BA"/>
    <w:rsid w:val="006A3858"/>
    <w:rsid w:val="006A567E"/>
    <w:rsid w:val="006A6E77"/>
    <w:rsid w:val="006A7E4C"/>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87994"/>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6A7"/>
    <w:rsid w:val="007D1C8E"/>
    <w:rsid w:val="007D61C0"/>
    <w:rsid w:val="007D6B24"/>
    <w:rsid w:val="007E1F7F"/>
    <w:rsid w:val="007E504A"/>
    <w:rsid w:val="007E7D9A"/>
    <w:rsid w:val="007F269B"/>
    <w:rsid w:val="007F30F9"/>
    <w:rsid w:val="00813160"/>
    <w:rsid w:val="008154F8"/>
    <w:rsid w:val="00815D76"/>
    <w:rsid w:val="008164F1"/>
    <w:rsid w:val="00816527"/>
    <w:rsid w:val="00817C7E"/>
    <w:rsid w:val="00821632"/>
    <w:rsid w:val="00821EB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14F8"/>
    <w:rsid w:val="008C306A"/>
    <w:rsid w:val="008C3715"/>
    <w:rsid w:val="008C3A58"/>
    <w:rsid w:val="008D421D"/>
    <w:rsid w:val="008D52FB"/>
    <w:rsid w:val="008E4987"/>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3DA"/>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5571"/>
    <w:rsid w:val="00A46C3F"/>
    <w:rsid w:val="00A50085"/>
    <w:rsid w:val="00A52A83"/>
    <w:rsid w:val="00A55030"/>
    <w:rsid w:val="00A55A2A"/>
    <w:rsid w:val="00A55C89"/>
    <w:rsid w:val="00A56B4C"/>
    <w:rsid w:val="00A60111"/>
    <w:rsid w:val="00A63141"/>
    <w:rsid w:val="00A70D13"/>
    <w:rsid w:val="00A715DE"/>
    <w:rsid w:val="00A736F1"/>
    <w:rsid w:val="00A76609"/>
    <w:rsid w:val="00A771E3"/>
    <w:rsid w:val="00A81EF3"/>
    <w:rsid w:val="00A82740"/>
    <w:rsid w:val="00AA1631"/>
    <w:rsid w:val="00AA1C6C"/>
    <w:rsid w:val="00AA42A4"/>
    <w:rsid w:val="00AB3E3E"/>
    <w:rsid w:val="00AB43AC"/>
    <w:rsid w:val="00AC2011"/>
    <w:rsid w:val="00AC2396"/>
    <w:rsid w:val="00AD0487"/>
    <w:rsid w:val="00AE00CC"/>
    <w:rsid w:val="00AE09F8"/>
    <w:rsid w:val="00AE2719"/>
    <w:rsid w:val="00AE355A"/>
    <w:rsid w:val="00AE68AF"/>
    <w:rsid w:val="00AF2339"/>
    <w:rsid w:val="00AF2E17"/>
    <w:rsid w:val="00AF7FB1"/>
    <w:rsid w:val="00B00DFA"/>
    <w:rsid w:val="00B03C92"/>
    <w:rsid w:val="00B03FEC"/>
    <w:rsid w:val="00B061BB"/>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C77D8"/>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25512"/>
    <w:rsid w:val="00C34C32"/>
    <w:rsid w:val="00C41184"/>
    <w:rsid w:val="00C4348F"/>
    <w:rsid w:val="00C52253"/>
    <w:rsid w:val="00C60955"/>
    <w:rsid w:val="00C66B51"/>
    <w:rsid w:val="00C67F64"/>
    <w:rsid w:val="00C71EE3"/>
    <w:rsid w:val="00C72B8F"/>
    <w:rsid w:val="00C73A6A"/>
    <w:rsid w:val="00C746C3"/>
    <w:rsid w:val="00C86B91"/>
    <w:rsid w:val="00C92C21"/>
    <w:rsid w:val="00C93B4F"/>
    <w:rsid w:val="00C9412B"/>
    <w:rsid w:val="00CA07B3"/>
    <w:rsid w:val="00CA409E"/>
    <w:rsid w:val="00CA5F82"/>
    <w:rsid w:val="00CA65F6"/>
    <w:rsid w:val="00CA68F4"/>
    <w:rsid w:val="00CB2C75"/>
    <w:rsid w:val="00CB7D96"/>
    <w:rsid w:val="00CC0689"/>
    <w:rsid w:val="00CC7FB4"/>
    <w:rsid w:val="00CD27BF"/>
    <w:rsid w:val="00CD373B"/>
    <w:rsid w:val="00CD449E"/>
    <w:rsid w:val="00CD51B9"/>
    <w:rsid w:val="00CE5C3F"/>
    <w:rsid w:val="00CF65B0"/>
    <w:rsid w:val="00D14DE9"/>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94C7E"/>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368A"/>
    <w:rsid w:val="00EC4A16"/>
    <w:rsid w:val="00EC530B"/>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A75AA"/>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7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 w:type="table" w:customStyle="1" w:styleId="TableGrid11">
    <w:name w:val="Table Grid11"/>
    <w:basedOn w:val="TableNormal"/>
    <w:next w:val="TableGrid"/>
    <w:uiPriority w:val="39"/>
    <w:rsid w:val="00C71E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1EE3"/>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71E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71EE3"/>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CFF077D-05DC-467B-9D52-DFC1E265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3225</Words>
  <Characters>18386</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2022-11-16T06:52:00Z</dcterms:created>
  <dcterms:modified xsi:type="dcterms:W3CDTF">2023-06-23T08:48:00Z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